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0A" w:rsidRDefault="0070120A" w:rsidP="0097158D">
      <w:pPr>
        <w:spacing w:after="0" w:line="240" w:lineRule="auto"/>
        <w:jc w:val="right"/>
        <w:rPr>
          <w:b/>
          <w:color w:val="F47D3A" w:themeColor="accent2"/>
          <w:sz w:val="26"/>
          <w:szCs w:val="26"/>
        </w:rPr>
      </w:pPr>
      <w:r>
        <w:rPr>
          <w:b/>
          <w:color w:val="F47D3A" w:themeColor="accent2"/>
          <w:sz w:val="26"/>
          <w:szCs w:val="26"/>
        </w:rPr>
        <w:t>Paper 3</w:t>
      </w:r>
      <w:r w:rsidR="00D42071">
        <w:rPr>
          <w:b/>
          <w:color w:val="F47D3A" w:themeColor="accent2"/>
          <w:sz w:val="26"/>
          <w:szCs w:val="26"/>
        </w:rPr>
        <w:t xml:space="preserve"> a</w:t>
      </w:r>
    </w:p>
    <w:p w:rsidR="0070120A" w:rsidRDefault="0070120A" w:rsidP="0097158D">
      <w:pPr>
        <w:spacing w:after="0" w:line="240" w:lineRule="auto"/>
        <w:jc w:val="center"/>
        <w:rPr>
          <w:b/>
          <w:color w:val="F47D3A" w:themeColor="accent2"/>
          <w:sz w:val="26"/>
          <w:szCs w:val="26"/>
        </w:rPr>
      </w:pPr>
      <w:r>
        <w:rPr>
          <w:b/>
          <w:color w:val="F47D3A" w:themeColor="accent2"/>
          <w:sz w:val="26"/>
          <w:szCs w:val="26"/>
        </w:rPr>
        <w:t>2017 – 2019 Sustainable Development Commission Work Programme</w:t>
      </w:r>
    </w:p>
    <w:p w:rsidR="008F495A" w:rsidRDefault="008F495A" w:rsidP="0097158D">
      <w:pPr>
        <w:spacing w:after="0"/>
        <w:rPr>
          <w:sz w:val="20"/>
          <w:szCs w:val="20"/>
        </w:rPr>
      </w:pPr>
      <w:r w:rsidRPr="00071851">
        <w:rPr>
          <w:sz w:val="20"/>
          <w:szCs w:val="20"/>
        </w:rPr>
        <w:t xml:space="preserve">This document outlines the proposed topics </w:t>
      </w:r>
      <w:r>
        <w:rPr>
          <w:sz w:val="20"/>
          <w:szCs w:val="20"/>
        </w:rPr>
        <w:t>for</w:t>
      </w:r>
      <w:r w:rsidRPr="00071851">
        <w:rPr>
          <w:sz w:val="20"/>
          <w:szCs w:val="20"/>
        </w:rPr>
        <w:t xml:space="preserve"> the work plan of the UITP Sustainable Development Commission (SDC)</w:t>
      </w:r>
      <w:r>
        <w:rPr>
          <w:sz w:val="20"/>
          <w:szCs w:val="20"/>
        </w:rPr>
        <w:t xml:space="preserve"> until the 63</w:t>
      </w:r>
      <w:r w:rsidRPr="008F495A">
        <w:rPr>
          <w:sz w:val="20"/>
          <w:szCs w:val="20"/>
          <w:vertAlign w:val="superscript"/>
        </w:rPr>
        <w:t>rd</w:t>
      </w:r>
      <w:r>
        <w:rPr>
          <w:sz w:val="20"/>
          <w:szCs w:val="20"/>
        </w:rPr>
        <w:t xml:space="preserve"> </w:t>
      </w:r>
      <w:r w:rsidRPr="00071851">
        <w:rPr>
          <w:sz w:val="20"/>
          <w:szCs w:val="20"/>
        </w:rPr>
        <w:t xml:space="preserve">UITP </w:t>
      </w:r>
      <w:r>
        <w:rPr>
          <w:sz w:val="20"/>
          <w:szCs w:val="20"/>
        </w:rPr>
        <w:t>Public Transport Summit</w:t>
      </w:r>
      <w:r w:rsidRPr="00071851">
        <w:rPr>
          <w:sz w:val="20"/>
          <w:szCs w:val="20"/>
        </w:rPr>
        <w:t>.  It is framed within the context of the Integrated Global Work Programme (IGW</w:t>
      </w:r>
      <w:r>
        <w:rPr>
          <w:sz w:val="20"/>
          <w:szCs w:val="20"/>
        </w:rPr>
        <w:t>P) which</w:t>
      </w:r>
      <w:r w:rsidRPr="00071851">
        <w:rPr>
          <w:sz w:val="20"/>
          <w:szCs w:val="20"/>
        </w:rPr>
        <w:t xml:space="preserve"> forms the foundation of all UITP working bodies </w:t>
      </w:r>
      <w:r>
        <w:rPr>
          <w:sz w:val="20"/>
          <w:szCs w:val="20"/>
        </w:rPr>
        <w:t>and efforts</w:t>
      </w:r>
      <w:r w:rsidRPr="00071851">
        <w:rPr>
          <w:sz w:val="20"/>
          <w:szCs w:val="20"/>
        </w:rPr>
        <w:t>.  The IGWP is approved by the Policy Board on beh</w:t>
      </w:r>
      <w:r>
        <w:rPr>
          <w:sz w:val="20"/>
          <w:szCs w:val="20"/>
        </w:rPr>
        <w:t xml:space="preserve">alf of the General Assembly and </w:t>
      </w:r>
      <w:r w:rsidRPr="00071851">
        <w:rPr>
          <w:sz w:val="20"/>
          <w:szCs w:val="20"/>
        </w:rPr>
        <w:t>is steered by the PresCom which consists of all chairs of Committees and Comm</w:t>
      </w:r>
      <w:r w:rsidR="0097158D">
        <w:rPr>
          <w:sz w:val="20"/>
          <w:szCs w:val="20"/>
        </w:rPr>
        <w:t xml:space="preserve">issions etc, including the SDC </w:t>
      </w:r>
      <w:r w:rsidRPr="00071851">
        <w:rPr>
          <w:sz w:val="20"/>
          <w:szCs w:val="20"/>
        </w:rPr>
        <w:t>and will enable the Commission deliver on its mission: promote</w:t>
      </w:r>
      <w:r>
        <w:rPr>
          <w:sz w:val="20"/>
          <w:szCs w:val="20"/>
        </w:rPr>
        <w:t xml:space="preserve"> inte</w:t>
      </w:r>
      <w:r w:rsidR="0097158D">
        <w:rPr>
          <w:sz w:val="20"/>
          <w:szCs w:val="20"/>
        </w:rPr>
        <w:t>rnally and externally</w:t>
      </w:r>
      <w:r>
        <w:rPr>
          <w:sz w:val="20"/>
          <w:szCs w:val="20"/>
        </w:rPr>
        <w:t xml:space="preserve"> </w:t>
      </w:r>
      <w:r w:rsidRPr="00071851">
        <w:rPr>
          <w:sz w:val="20"/>
          <w:szCs w:val="20"/>
        </w:rPr>
        <w:t xml:space="preserve">the positive contribution public transport makes to sustainable development. </w:t>
      </w:r>
    </w:p>
    <w:p w:rsidR="008F495A" w:rsidRDefault="008F495A" w:rsidP="0097158D">
      <w:pPr>
        <w:spacing w:after="0"/>
        <w:rPr>
          <w:sz w:val="20"/>
          <w:szCs w:val="20"/>
        </w:rPr>
      </w:pPr>
    </w:p>
    <w:p w:rsidR="008F495A" w:rsidRPr="00071851" w:rsidRDefault="008F495A" w:rsidP="0097158D">
      <w:pPr>
        <w:spacing w:after="0"/>
        <w:rPr>
          <w:sz w:val="20"/>
          <w:szCs w:val="20"/>
        </w:rPr>
      </w:pPr>
      <w:r>
        <w:rPr>
          <w:sz w:val="20"/>
          <w:szCs w:val="20"/>
        </w:rPr>
        <w:t xml:space="preserve">The schematic below outlines the core working topics, topic leads and time allocation for each activity.  The SDC work plan should be viewed as a flexible document and constantly open for discussion and change.  </w:t>
      </w:r>
    </w:p>
    <w:p w:rsidR="009175FE" w:rsidRPr="0097158D" w:rsidRDefault="008F495A" w:rsidP="0097158D">
      <w:pPr>
        <w:spacing w:after="0"/>
        <w:jc w:val="center"/>
        <w:rPr>
          <w:color w:val="F47D3A" w:themeColor="accent2"/>
          <w:sz w:val="26"/>
          <w:szCs w:val="26"/>
        </w:rPr>
      </w:pPr>
      <w:r w:rsidRPr="008F495A">
        <w:rPr>
          <w:noProof/>
          <w:color w:val="F47D3A" w:themeColor="accent2"/>
          <w:sz w:val="26"/>
          <w:szCs w:val="26"/>
          <w:lang w:eastAsia="en-GB"/>
        </w:rPr>
        <w:drawing>
          <wp:inline distT="0" distB="0" distL="0" distR="0" wp14:anchorId="4B1D3E83" wp14:editId="1CB395F1">
            <wp:extent cx="4819650" cy="3614739"/>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27280" cy="3620462"/>
                    </a:xfrm>
                    <a:prstGeom prst="rect">
                      <a:avLst/>
                    </a:prstGeom>
                  </pic:spPr>
                </pic:pic>
              </a:graphicData>
            </a:graphic>
          </wp:inline>
        </w:drawing>
      </w:r>
    </w:p>
    <w:p w:rsidR="009175FE" w:rsidRPr="00E0049E" w:rsidRDefault="009175FE" w:rsidP="0097158D">
      <w:pPr>
        <w:pStyle w:val="ListParagraph"/>
        <w:numPr>
          <w:ilvl w:val="0"/>
          <w:numId w:val="15"/>
        </w:numPr>
        <w:spacing w:after="0"/>
        <w:jc w:val="both"/>
        <w:rPr>
          <w:b/>
          <w:color w:val="F47D3A" w:themeColor="accent2"/>
          <w:sz w:val="26"/>
          <w:szCs w:val="26"/>
        </w:rPr>
      </w:pPr>
      <w:r w:rsidRPr="00E0049E">
        <w:rPr>
          <w:b/>
          <w:color w:val="F47D3A" w:themeColor="accent2"/>
          <w:sz w:val="26"/>
          <w:szCs w:val="26"/>
        </w:rPr>
        <w:t>SUM4ALL &amp; Sustainable Development Goal Reporting (SDG)</w:t>
      </w:r>
      <w:r w:rsidR="00397B7E">
        <w:rPr>
          <w:b/>
          <w:color w:val="F47D3A" w:themeColor="accent2"/>
          <w:sz w:val="26"/>
          <w:szCs w:val="26"/>
        </w:rPr>
        <w:t xml:space="preserve"> – Paper 3c</w:t>
      </w:r>
      <w:bookmarkStart w:id="0" w:name="_GoBack"/>
      <w:bookmarkEnd w:id="0"/>
    </w:p>
    <w:p w:rsidR="009175FE" w:rsidRPr="0097158D" w:rsidRDefault="009175FE" w:rsidP="0097158D">
      <w:pPr>
        <w:spacing w:after="0"/>
        <w:jc w:val="both"/>
        <w:rPr>
          <w:sz w:val="20"/>
          <w:szCs w:val="20"/>
        </w:rPr>
      </w:pPr>
      <w:r w:rsidRPr="00985B75">
        <w:rPr>
          <w:sz w:val="20"/>
          <w:szCs w:val="20"/>
        </w:rPr>
        <w:t>On 25 September 2015, all countries signed up to a set of 17 Sustainable Development Goals (SDGs) and 169 associated global targets</w:t>
      </w:r>
      <w:r>
        <w:rPr>
          <w:sz w:val="20"/>
          <w:szCs w:val="20"/>
        </w:rPr>
        <w:t xml:space="preserve"> </w:t>
      </w:r>
      <w:r w:rsidR="0097158D">
        <w:rPr>
          <w:sz w:val="20"/>
          <w:szCs w:val="20"/>
        </w:rPr>
        <w:t xml:space="preserve">which </w:t>
      </w:r>
      <w:r w:rsidRPr="00985B75">
        <w:rPr>
          <w:sz w:val="20"/>
          <w:szCs w:val="20"/>
        </w:rPr>
        <w:t>include</w:t>
      </w:r>
      <w:r w:rsidR="0097158D">
        <w:rPr>
          <w:sz w:val="20"/>
          <w:szCs w:val="20"/>
        </w:rPr>
        <w:t>s</w:t>
      </w:r>
      <w:r w:rsidR="00991271">
        <w:rPr>
          <w:sz w:val="20"/>
          <w:szCs w:val="20"/>
        </w:rPr>
        <w:t xml:space="preserve"> a</w:t>
      </w:r>
      <w:r w:rsidRPr="00985B75">
        <w:rPr>
          <w:sz w:val="20"/>
          <w:szCs w:val="20"/>
        </w:rPr>
        <w:t xml:space="preserve"> </w:t>
      </w:r>
      <w:r w:rsidR="00991271">
        <w:rPr>
          <w:sz w:val="20"/>
          <w:szCs w:val="20"/>
        </w:rPr>
        <w:t>one</w:t>
      </w:r>
      <w:r w:rsidRPr="00985B75">
        <w:rPr>
          <w:sz w:val="20"/>
          <w:szCs w:val="20"/>
        </w:rPr>
        <w:t xml:space="preserve"> </w:t>
      </w:r>
      <w:r w:rsidR="00991271">
        <w:rPr>
          <w:sz w:val="20"/>
          <w:szCs w:val="20"/>
        </w:rPr>
        <w:t>(</w:t>
      </w:r>
      <w:r w:rsidRPr="00985B75">
        <w:rPr>
          <w:sz w:val="20"/>
          <w:szCs w:val="20"/>
        </w:rPr>
        <w:t>and indicator</w:t>
      </w:r>
      <w:r w:rsidR="00991271">
        <w:rPr>
          <w:sz w:val="20"/>
          <w:szCs w:val="20"/>
        </w:rPr>
        <w:t>)</w:t>
      </w:r>
      <w:r w:rsidRPr="00985B75">
        <w:rPr>
          <w:sz w:val="20"/>
          <w:szCs w:val="20"/>
        </w:rPr>
        <w:t xml:space="preserve"> on urban public transport</w:t>
      </w:r>
      <w:r w:rsidR="00991271">
        <w:rPr>
          <w:sz w:val="20"/>
          <w:szCs w:val="20"/>
        </w:rPr>
        <w:t xml:space="preserve"> (SDG11.2)</w:t>
      </w:r>
      <w:r w:rsidRPr="00985B75">
        <w:rPr>
          <w:sz w:val="20"/>
          <w:szCs w:val="20"/>
        </w:rPr>
        <w:t>.</w:t>
      </w:r>
      <w:r w:rsidR="0097158D">
        <w:rPr>
          <w:sz w:val="20"/>
          <w:szCs w:val="20"/>
        </w:rPr>
        <w:t xml:space="preserve">  </w:t>
      </w:r>
      <w:r w:rsidRPr="00985B75">
        <w:rPr>
          <w:sz w:val="20"/>
          <w:szCs w:val="20"/>
        </w:rPr>
        <w:t>In support</w:t>
      </w:r>
      <w:r>
        <w:rPr>
          <w:sz w:val="20"/>
          <w:szCs w:val="20"/>
        </w:rPr>
        <w:t xml:space="preserve"> of the SDG’</w:t>
      </w:r>
      <w:r w:rsidRPr="00985B75">
        <w:rPr>
          <w:sz w:val="20"/>
          <w:szCs w:val="20"/>
        </w:rPr>
        <w:t>s, the World Bank launched an initiative called Sustainable Mobility for All (SUM4All) in May 2016</w:t>
      </w:r>
      <w:r>
        <w:rPr>
          <w:sz w:val="20"/>
          <w:szCs w:val="20"/>
        </w:rPr>
        <w:t xml:space="preserve"> that aims to </w:t>
      </w:r>
      <w:r w:rsidRPr="00985B75">
        <w:rPr>
          <w:sz w:val="20"/>
          <w:szCs w:val="20"/>
        </w:rPr>
        <w:t>develop a global tracking framework (GTF) to measure global prog</w:t>
      </w:r>
      <w:r w:rsidR="0097158D">
        <w:rPr>
          <w:sz w:val="20"/>
          <w:szCs w:val="20"/>
        </w:rPr>
        <w:t xml:space="preserve">ress on sustainable transport.  </w:t>
      </w:r>
      <w:r w:rsidRPr="00985B75">
        <w:rPr>
          <w:sz w:val="20"/>
          <w:szCs w:val="20"/>
        </w:rPr>
        <w:t>At the same time, UITP has been encouraging its members to report sustainability information through the UITP S</w:t>
      </w:r>
      <w:r w:rsidR="0097158D">
        <w:rPr>
          <w:sz w:val="20"/>
          <w:szCs w:val="20"/>
        </w:rPr>
        <w:t>ustainability Charter</w:t>
      </w:r>
      <w:r w:rsidRPr="00985B75">
        <w:rPr>
          <w:sz w:val="20"/>
          <w:szCs w:val="20"/>
        </w:rPr>
        <w:t xml:space="preserve">.  Metrics have been developed </w:t>
      </w:r>
      <w:r>
        <w:rPr>
          <w:sz w:val="20"/>
          <w:szCs w:val="20"/>
        </w:rPr>
        <w:t xml:space="preserve">under the Charter </w:t>
      </w:r>
      <w:r w:rsidRPr="00985B75">
        <w:rPr>
          <w:sz w:val="20"/>
          <w:szCs w:val="20"/>
        </w:rPr>
        <w:t xml:space="preserve">for the sector to </w:t>
      </w:r>
      <w:r w:rsidRPr="00985B75">
        <w:rPr>
          <w:sz w:val="20"/>
          <w:szCs w:val="20"/>
        </w:rPr>
        <w:lastRenderedPageBreak/>
        <w:t>support reporting and have been aligned with the latest sustainability standards</w:t>
      </w:r>
      <w:r w:rsidR="0097158D">
        <w:rPr>
          <w:sz w:val="20"/>
          <w:szCs w:val="20"/>
        </w:rPr>
        <w:t xml:space="preserve"> </w:t>
      </w:r>
      <w:r w:rsidRPr="00985B75">
        <w:rPr>
          <w:sz w:val="20"/>
          <w:szCs w:val="20"/>
        </w:rPr>
        <w:t xml:space="preserve">and </w:t>
      </w:r>
      <w:r>
        <w:rPr>
          <w:sz w:val="20"/>
          <w:szCs w:val="20"/>
        </w:rPr>
        <w:t xml:space="preserve">reporting </w:t>
      </w:r>
      <w:r w:rsidRPr="00985B75">
        <w:rPr>
          <w:sz w:val="20"/>
          <w:szCs w:val="20"/>
        </w:rPr>
        <w:t>regulations.  UITP has recently aligned the Charter indicators and the SDGs and made a formal commitment at COP21 (Paris, 2015)</w:t>
      </w:r>
      <w:r w:rsidR="00991271">
        <w:rPr>
          <w:sz w:val="20"/>
          <w:szCs w:val="20"/>
        </w:rPr>
        <w:t xml:space="preserve"> to scale up SDG reporting in the sector</w:t>
      </w:r>
      <w:r w:rsidRPr="00985B75">
        <w:rPr>
          <w:sz w:val="20"/>
          <w:szCs w:val="20"/>
        </w:rPr>
        <w:t>.</w:t>
      </w:r>
      <w:r w:rsidR="0097158D">
        <w:rPr>
          <w:sz w:val="20"/>
          <w:szCs w:val="20"/>
        </w:rPr>
        <w:t xml:space="preserve">  </w:t>
      </w:r>
      <w:r w:rsidRPr="00985B75">
        <w:rPr>
          <w:sz w:val="20"/>
          <w:szCs w:val="20"/>
        </w:rPr>
        <w:t>Currently no data exists on SDG 11.2 and the SUM4All GTF will need to be fed with public transport information.  The project will fill this data gap</w:t>
      </w:r>
      <w:r w:rsidRPr="00985B75">
        <w:rPr>
          <w:bCs/>
          <w:sz w:val="20"/>
          <w:szCs w:val="20"/>
        </w:rPr>
        <w:t xml:space="preserve">. </w:t>
      </w:r>
    </w:p>
    <w:p w:rsidR="009175FE" w:rsidRPr="00985B75" w:rsidRDefault="009175FE" w:rsidP="0097158D">
      <w:pPr>
        <w:spacing w:after="0"/>
        <w:rPr>
          <w:sz w:val="20"/>
          <w:szCs w:val="20"/>
        </w:rPr>
      </w:pPr>
    </w:p>
    <w:p w:rsidR="009175FE" w:rsidRPr="009175FE" w:rsidRDefault="009175FE" w:rsidP="0097158D">
      <w:pPr>
        <w:spacing w:after="0"/>
        <w:rPr>
          <w:b/>
          <w:sz w:val="20"/>
          <w:szCs w:val="20"/>
        </w:rPr>
      </w:pPr>
      <w:r w:rsidRPr="009175FE">
        <w:rPr>
          <w:b/>
          <w:sz w:val="20"/>
          <w:szCs w:val="20"/>
        </w:rPr>
        <w:t>Objectives</w:t>
      </w:r>
    </w:p>
    <w:p w:rsidR="009175FE" w:rsidRPr="009175FE" w:rsidRDefault="009175FE" w:rsidP="0097158D">
      <w:pPr>
        <w:pStyle w:val="Default"/>
        <w:numPr>
          <w:ilvl w:val="0"/>
          <w:numId w:val="12"/>
        </w:numPr>
        <w:spacing w:line="276" w:lineRule="auto"/>
        <w:ind w:left="714" w:hanging="357"/>
        <w:rPr>
          <w:rFonts w:cs="Times New Roman"/>
          <w:b/>
          <w:color w:val="003237"/>
          <w:sz w:val="20"/>
          <w:szCs w:val="20"/>
        </w:rPr>
      </w:pPr>
      <w:r w:rsidRPr="009175FE">
        <w:rPr>
          <w:rFonts w:cs="Times New Roman"/>
          <w:b/>
          <w:bCs/>
          <w:color w:val="003237"/>
          <w:sz w:val="20"/>
          <w:szCs w:val="20"/>
        </w:rPr>
        <w:t>Develop a digital reporting platform for UITP members to summarise automatically, key reporting metrics and sustainability reports in line with regulatory requirements and the voluntary UITP SD Charter</w:t>
      </w:r>
    </w:p>
    <w:p w:rsidR="009175FE" w:rsidRPr="009175FE" w:rsidRDefault="009175FE" w:rsidP="0097158D">
      <w:pPr>
        <w:pStyle w:val="Default"/>
        <w:numPr>
          <w:ilvl w:val="0"/>
          <w:numId w:val="12"/>
        </w:numPr>
        <w:spacing w:line="276" w:lineRule="auto"/>
        <w:ind w:left="714" w:hanging="357"/>
        <w:rPr>
          <w:rFonts w:cs="Times New Roman"/>
          <w:b/>
          <w:color w:val="003237"/>
          <w:sz w:val="20"/>
          <w:szCs w:val="20"/>
        </w:rPr>
      </w:pPr>
      <w:r w:rsidRPr="009175FE">
        <w:rPr>
          <w:rFonts w:cs="Times New Roman"/>
          <w:b/>
          <w:bCs/>
          <w:color w:val="003237"/>
          <w:sz w:val="20"/>
          <w:szCs w:val="20"/>
        </w:rPr>
        <w:t>Provide analytics within the platform, enabling focus on SDG and sustainability assessment factors</w:t>
      </w:r>
    </w:p>
    <w:p w:rsidR="009175FE" w:rsidRPr="009175FE" w:rsidRDefault="009175FE" w:rsidP="0097158D">
      <w:pPr>
        <w:pStyle w:val="Default"/>
        <w:numPr>
          <w:ilvl w:val="0"/>
          <w:numId w:val="12"/>
        </w:numPr>
        <w:spacing w:line="276" w:lineRule="auto"/>
        <w:ind w:left="714" w:hanging="357"/>
        <w:rPr>
          <w:rFonts w:cs="Times New Roman"/>
          <w:b/>
          <w:color w:val="003237"/>
          <w:sz w:val="20"/>
          <w:szCs w:val="20"/>
        </w:rPr>
      </w:pPr>
      <w:r w:rsidRPr="009175FE">
        <w:rPr>
          <w:rFonts w:cs="Times New Roman"/>
          <w:b/>
          <w:bCs/>
          <w:color w:val="003237"/>
          <w:sz w:val="20"/>
          <w:szCs w:val="20"/>
        </w:rPr>
        <w:t>Provide analytics to prepare sector-based impact reports on sector achievements in a quick, cost-effective manner that can feed into national and global reporting frameworks like the SDGs and SUM4All as well as UITP projects</w:t>
      </w:r>
    </w:p>
    <w:p w:rsidR="009175FE" w:rsidRPr="009175FE" w:rsidRDefault="009175FE" w:rsidP="0097158D">
      <w:pPr>
        <w:pStyle w:val="Default"/>
        <w:numPr>
          <w:ilvl w:val="0"/>
          <w:numId w:val="12"/>
        </w:numPr>
        <w:spacing w:line="276" w:lineRule="auto"/>
        <w:ind w:left="714" w:hanging="357"/>
        <w:rPr>
          <w:rFonts w:cs="Times New Roman"/>
          <w:b/>
          <w:color w:val="003237"/>
          <w:sz w:val="20"/>
          <w:szCs w:val="20"/>
        </w:rPr>
      </w:pPr>
      <w:r w:rsidRPr="009175FE">
        <w:rPr>
          <w:rFonts w:cs="Times New Roman"/>
          <w:b/>
          <w:color w:val="003237"/>
          <w:sz w:val="20"/>
          <w:szCs w:val="20"/>
        </w:rPr>
        <w:t xml:space="preserve">Ensure </w:t>
      </w:r>
      <w:r w:rsidRPr="009175FE">
        <w:rPr>
          <w:rFonts w:cs="Times New Roman"/>
          <w:b/>
          <w:bCs/>
          <w:color w:val="003237"/>
          <w:sz w:val="20"/>
          <w:szCs w:val="20"/>
        </w:rPr>
        <w:t xml:space="preserve">the platform is consistent with and aggregates data within UITP which can also support other UITP activities (e.g. Millennium in Cities Database (MCD)) </w:t>
      </w:r>
    </w:p>
    <w:p w:rsidR="009175FE" w:rsidRDefault="009175FE" w:rsidP="0097158D">
      <w:pPr>
        <w:pStyle w:val="Default"/>
        <w:spacing w:line="276" w:lineRule="auto"/>
        <w:rPr>
          <w:rFonts w:cs="Times New Roman"/>
          <w:color w:val="003237"/>
          <w:sz w:val="20"/>
          <w:szCs w:val="20"/>
        </w:rPr>
      </w:pPr>
    </w:p>
    <w:p w:rsidR="00AC3752" w:rsidRDefault="00AC3752" w:rsidP="0097158D">
      <w:pPr>
        <w:pStyle w:val="Default"/>
        <w:spacing w:line="276" w:lineRule="auto"/>
        <w:rPr>
          <w:rFonts w:cs="Times New Roman"/>
          <w:color w:val="003237"/>
          <w:sz w:val="20"/>
          <w:szCs w:val="20"/>
        </w:rPr>
      </w:pPr>
      <w:r>
        <w:rPr>
          <w:rFonts w:cs="Times New Roman"/>
          <w:color w:val="003237"/>
          <w:sz w:val="20"/>
          <w:szCs w:val="20"/>
        </w:rPr>
        <w:t xml:space="preserve">On the basis of the above it is proposed that the </w:t>
      </w:r>
      <w:r w:rsidRPr="00AC3752">
        <w:rPr>
          <w:rFonts w:cs="Times New Roman"/>
          <w:b/>
          <w:color w:val="003237"/>
          <w:sz w:val="20"/>
          <w:szCs w:val="20"/>
        </w:rPr>
        <w:t>traditional Charter process be adapted w</w:t>
      </w:r>
      <w:r w:rsidR="00991271">
        <w:rPr>
          <w:rFonts w:cs="Times New Roman"/>
          <w:b/>
          <w:color w:val="003237"/>
          <w:sz w:val="20"/>
          <w:szCs w:val="20"/>
        </w:rPr>
        <w:t>here signatories be no longer</w:t>
      </w:r>
      <w:r w:rsidRPr="00AC3752">
        <w:rPr>
          <w:rFonts w:cs="Times New Roman"/>
          <w:b/>
          <w:color w:val="003237"/>
          <w:sz w:val="20"/>
          <w:szCs w:val="20"/>
        </w:rPr>
        <w:t xml:space="preserve"> required to sign-up to report non-financial information.</w:t>
      </w:r>
      <w:r>
        <w:rPr>
          <w:rFonts w:cs="Times New Roman"/>
          <w:color w:val="003237"/>
          <w:sz w:val="20"/>
          <w:szCs w:val="20"/>
        </w:rPr>
        <w:t xml:space="preserve">  Rather all UITP members should be encouraged to report through this platform.</w:t>
      </w:r>
    </w:p>
    <w:p w:rsidR="00AC3752" w:rsidRPr="009175FE" w:rsidRDefault="00AC3752" w:rsidP="0097158D">
      <w:pPr>
        <w:pStyle w:val="Default"/>
        <w:spacing w:line="276" w:lineRule="auto"/>
        <w:rPr>
          <w:rFonts w:cs="Times New Roman"/>
          <w:color w:val="003237"/>
          <w:sz w:val="20"/>
          <w:szCs w:val="20"/>
        </w:rPr>
      </w:pPr>
    </w:p>
    <w:p w:rsidR="009175FE" w:rsidRPr="00E0049E" w:rsidRDefault="009175FE" w:rsidP="0097158D">
      <w:pPr>
        <w:pStyle w:val="ListParagraph"/>
        <w:numPr>
          <w:ilvl w:val="0"/>
          <w:numId w:val="15"/>
        </w:numPr>
        <w:spacing w:after="0"/>
        <w:jc w:val="both"/>
        <w:rPr>
          <w:b/>
          <w:color w:val="F47D3A" w:themeColor="accent2"/>
          <w:sz w:val="26"/>
          <w:szCs w:val="26"/>
          <w:lang w:val="fr-BE"/>
        </w:rPr>
      </w:pPr>
      <w:r w:rsidRPr="00E0049E">
        <w:rPr>
          <w:b/>
          <w:color w:val="F47D3A" w:themeColor="accent2"/>
          <w:sz w:val="26"/>
          <w:szCs w:val="26"/>
          <w:lang w:val="fr-BE"/>
        </w:rPr>
        <w:t>UN Affairs</w:t>
      </w:r>
    </w:p>
    <w:p w:rsidR="009175FE" w:rsidRDefault="009175FE" w:rsidP="0097158D">
      <w:pPr>
        <w:spacing w:after="0"/>
        <w:rPr>
          <w:sz w:val="20"/>
          <w:szCs w:val="20"/>
        </w:rPr>
      </w:pPr>
      <w:r w:rsidRPr="009175FE">
        <w:rPr>
          <w:b/>
          <w:sz w:val="20"/>
          <w:szCs w:val="20"/>
        </w:rPr>
        <w:t>The UN global stocktake at the UN High Level Political Forum with national governments on progress towards SDG 11 (cities) and its associated targets, including SDG 11.2, will take place in July 2018</w:t>
      </w:r>
      <w:r w:rsidRPr="00985B75">
        <w:rPr>
          <w:sz w:val="20"/>
          <w:szCs w:val="20"/>
        </w:rPr>
        <w:t xml:space="preserve">. UN Habitat </w:t>
      </w:r>
      <w:r>
        <w:rPr>
          <w:sz w:val="20"/>
          <w:szCs w:val="20"/>
        </w:rPr>
        <w:t xml:space="preserve">as the goal’s gatekeeper </w:t>
      </w:r>
      <w:r w:rsidRPr="00985B75">
        <w:rPr>
          <w:sz w:val="20"/>
          <w:szCs w:val="20"/>
        </w:rPr>
        <w:t xml:space="preserve">is currently determining how it will take forward the national review and has </w:t>
      </w:r>
      <w:r w:rsidR="00991271">
        <w:rPr>
          <w:sz w:val="20"/>
          <w:szCs w:val="20"/>
        </w:rPr>
        <w:t>asked</w:t>
      </w:r>
      <w:r w:rsidRPr="00985B75">
        <w:rPr>
          <w:sz w:val="20"/>
          <w:szCs w:val="20"/>
        </w:rPr>
        <w:t xml:space="preserve"> UITP to support them in their efforts. </w:t>
      </w:r>
      <w:r w:rsidRPr="00E0049E">
        <w:rPr>
          <w:b/>
          <w:sz w:val="20"/>
          <w:szCs w:val="20"/>
        </w:rPr>
        <w:t xml:space="preserve">The above project </w:t>
      </w:r>
      <w:r w:rsidR="00991271">
        <w:rPr>
          <w:b/>
          <w:sz w:val="20"/>
          <w:szCs w:val="20"/>
        </w:rPr>
        <w:t xml:space="preserve">(1) </w:t>
      </w:r>
      <w:r w:rsidRPr="00E0049E">
        <w:rPr>
          <w:b/>
          <w:sz w:val="20"/>
          <w:szCs w:val="20"/>
        </w:rPr>
        <w:t>will be the primary input to the Forum</w:t>
      </w:r>
      <w:r>
        <w:rPr>
          <w:sz w:val="20"/>
          <w:szCs w:val="20"/>
        </w:rPr>
        <w:t xml:space="preserve"> and UITP will seek constant opportunities to engage the UN system in the build-up and beyond to ensure that public transport remains high on the political agenda.</w:t>
      </w:r>
    </w:p>
    <w:p w:rsidR="009175FE" w:rsidRPr="009175FE" w:rsidRDefault="009175FE" w:rsidP="0097158D">
      <w:pPr>
        <w:spacing w:after="0"/>
        <w:rPr>
          <w:sz w:val="20"/>
          <w:szCs w:val="20"/>
        </w:rPr>
      </w:pPr>
    </w:p>
    <w:p w:rsidR="009175FE" w:rsidRPr="00E0049E" w:rsidRDefault="009175FE" w:rsidP="0097158D">
      <w:pPr>
        <w:pStyle w:val="ListParagraph"/>
        <w:numPr>
          <w:ilvl w:val="0"/>
          <w:numId w:val="15"/>
        </w:numPr>
        <w:spacing w:after="0"/>
        <w:jc w:val="both"/>
        <w:rPr>
          <w:b/>
          <w:color w:val="F47D3A" w:themeColor="accent2"/>
          <w:sz w:val="26"/>
          <w:szCs w:val="26"/>
          <w:lang w:val="fr-BE"/>
        </w:rPr>
      </w:pPr>
      <w:r w:rsidRPr="00E0049E">
        <w:rPr>
          <w:b/>
          <w:color w:val="F47D3A" w:themeColor="accent2"/>
          <w:sz w:val="26"/>
          <w:szCs w:val="26"/>
          <w:lang w:val="fr-BE"/>
        </w:rPr>
        <w:t>Climate Change</w:t>
      </w:r>
    </w:p>
    <w:p w:rsidR="009175FE" w:rsidRDefault="009175FE" w:rsidP="0097158D">
      <w:pPr>
        <w:spacing w:after="0"/>
        <w:jc w:val="both"/>
        <w:rPr>
          <w:sz w:val="20"/>
          <w:szCs w:val="20"/>
        </w:rPr>
      </w:pPr>
      <w:r w:rsidRPr="009175FE">
        <w:rPr>
          <w:sz w:val="20"/>
          <w:szCs w:val="20"/>
        </w:rPr>
        <w:t>UITP’s Declaration on Climate Leadership is one of 70 collaborative initiatives</w:t>
      </w:r>
      <w:r>
        <w:rPr>
          <w:sz w:val="20"/>
          <w:szCs w:val="20"/>
        </w:rPr>
        <w:t xml:space="preserve"> covering all sectors under the UNFCCC’s Global Climate Agenda (GCA): </w:t>
      </w:r>
      <w:hyperlink r:id="rId9" w:history="1">
        <w:r w:rsidRPr="00DF2BD5">
          <w:rPr>
            <w:rStyle w:val="Hyperlink"/>
            <w:sz w:val="20"/>
            <w:szCs w:val="20"/>
          </w:rPr>
          <w:t>http://climateaction.unfccc.int/cooperative-initiative/public-transport-declaration-on-climate-leadership/transport</w:t>
        </w:r>
      </w:hyperlink>
    </w:p>
    <w:p w:rsidR="009175FE" w:rsidRDefault="009175FE" w:rsidP="0097158D">
      <w:pPr>
        <w:spacing w:after="0"/>
        <w:jc w:val="both"/>
        <w:rPr>
          <w:sz w:val="20"/>
          <w:szCs w:val="20"/>
        </w:rPr>
      </w:pPr>
    </w:p>
    <w:p w:rsidR="009175FE" w:rsidRPr="009175FE" w:rsidRDefault="009175FE" w:rsidP="0097158D">
      <w:pPr>
        <w:spacing w:after="0"/>
        <w:jc w:val="both"/>
        <w:rPr>
          <w:sz w:val="20"/>
          <w:szCs w:val="20"/>
        </w:rPr>
      </w:pPr>
      <w:r>
        <w:rPr>
          <w:sz w:val="20"/>
          <w:szCs w:val="20"/>
        </w:rPr>
        <w:t>A requireme</w:t>
      </w:r>
      <w:r w:rsidRPr="009175FE">
        <w:rPr>
          <w:sz w:val="20"/>
          <w:szCs w:val="20"/>
        </w:rPr>
        <w:t>nt under the GCA is to:</w:t>
      </w:r>
    </w:p>
    <w:p w:rsidR="009175FE" w:rsidRPr="009175FE" w:rsidRDefault="009175FE" w:rsidP="0097158D">
      <w:pPr>
        <w:pStyle w:val="ListParagraph"/>
        <w:numPr>
          <w:ilvl w:val="0"/>
          <w:numId w:val="13"/>
        </w:numPr>
        <w:spacing w:after="0"/>
        <w:jc w:val="both"/>
        <w:rPr>
          <w:rFonts w:ascii="Century Gothic" w:hAnsi="Century Gothic"/>
          <w:b/>
          <w:color w:val="003237"/>
          <w:sz w:val="20"/>
          <w:szCs w:val="20"/>
        </w:rPr>
      </w:pPr>
      <w:r w:rsidRPr="009175FE">
        <w:rPr>
          <w:rFonts w:ascii="Century Gothic" w:hAnsi="Century Gothic"/>
          <w:b/>
          <w:color w:val="003237"/>
          <w:sz w:val="20"/>
          <w:szCs w:val="20"/>
        </w:rPr>
        <w:t>Report progress of implementation on an annual basis of the 350 commitments pledged under the Declaration</w:t>
      </w:r>
    </w:p>
    <w:p w:rsidR="009175FE" w:rsidRPr="009175FE" w:rsidRDefault="009175FE" w:rsidP="0097158D">
      <w:pPr>
        <w:pStyle w:val="ListParagraph"/>
        <w:numPr>
          <w:ilvl w:val="0"/>
          <w:numId w:val="13"/>
        </w:numPr>
        <w:spacing w:after="0"/>
        <w:jc w:val="both"/>
        <w:rPr>
          <w:rFonts w:ascii="Century Gothic" w:hAnsi="Century Gothic"/>
          <w:b/>
          <w:color w:val="003237"/>
          <w:sz w:val="20"/>
          <w:szCs w:val="20"/>
        </w:rPr>
      </w:pPr>
      <w:r w:rsidRPr="009175FE">
        <w:rPr>
          <w:rFonts w:ascii="Century Gothic" w:hAnsi="Century Gothic"/>
          <w:b/>
          <w:color w:val="003237"/>
          <w:sz w:val="20"/>
          <w:szCs w:val="20"/>
        </w:rPr>
        <w:t>Support implementation through sharing of best practice and lessons learned from implementing action on the ground</w:t>
      </w:r>
      <w:r>
        <w:rPr>
          <w:rFonts w:ascii="Century Gothic" w:hAnsi="Century Gothic"/>
          <w:b/>
          <w:color w:val="003237"/>
          <w:sz w:val="20"/>
          <w:szCs w:val="20"/>
        </w:rPr>
        <w:t xml:space="preserve"> linked to national climate strategies</w:t>
      </w:r>
    </w:p>
    <w:p w:rsidR="009175FE" w:rsidRPr="009175FE" w:rsidRDefault="009175FE" w:rsidP="0097158D">
      <w:pPr>
        <w:pStyle w:val="ListParagraph"/>
        <w:numPr>
          <w:ilvl w:val="0"/>
          <w:numId w:val="13"/>
        </w:numPr>
        <w:spacing w:after="0"/>
        <w:jc w:val="both"/>
        <w:rPr>
          <w:rFonts w:ascii="Century Gothic" w:hAnsi="Century Gothic"/>
          <w:b/>
          <w:color w:val="003237"/>
          <w:sz w:val="20"/>
          <w:szCs w:val="20"/>
        </w:rPr>
      </w:pPr>
      <w:r w:rsidRPr="009175FE">
        <w:rPr>
          <w:rFonts w:ascii="Century Gothic" w:hAnsi="Century Gothic"/>
          <w:b/>
          <w:color w:val="003237"/>
          <w:sz w:val="20"/>
          <w:szCs w:val="20"/>
        </w:rPr>
        <w:lastRenderedPageBreak/>
        <w:t>Raise awareness of the positive contribution that public transport can play in the fight against climate change and sustainable development</w:t>
      </w:r>
    </w:p>
    <w:p w:rsidR="009175FE" w:rsidRDefault="009175FE" w:rsidP="0097158D">
      <w:pPr>
        <w:spacing w:after="0"/>
        <w:jc w:val="both"/>
        <w:rPr>
          <w:sz w:val="20"/>
          <w:szCs w:val="20"/>
        </w:rPr>
      </w:pPr>
    </w:p>
    <w:p w:rsidR="009175FE" w:rsidRPr="009175FE" w:rsidRDefault="009175FE" w:rsidP="0097158D">
      <w:pPr>
        <w:spacing w:after="0"/>
        <w:jc w:val="both"/>
        <w:rPr>
          <w:b/>
          <w:color w:val="F47D3A" w:themeColor="accent2"/>
          <w:sz w:val="26"/>
          <w:szCs w:val="26"/>
        </w:rPr>
      </w:pPr>
      <w:r>
        <w:rPr>
          <w:sz w:val="20"/>
          <w:szCs w:val="20"/>
        </w:rPr>
        <w:t>The SDC work plan is designed to support UITP deliver on these commitments:</w:t>
      </w:r>
      <w:r w:rsidRPr="00991271">
        <w:rPr>
          <w:b/>
          <w:sz w:val="20"/>
          <w:szCs w:val="20"/>
        </w:rPr>
        <w:t xml:space="preserve"> report on Declaration implementation for COP 23, 24; guide on low emissions bus systems; brief on green bonds; brief on transit avoided carbon</w:t>
      </w:r>
      <w:r w:rsidR="00991271" w:rsidRPr="00991271">
        <w:rPr>
          <w:b/>
          <w:color w:val="auto"/>
          <w:sz w:val="20"/>
          <w:szCs w:val="20"/>
        </w:rPr>
        <w:t>.</w:t>
      </w:r>
    </w:p>
    <w:p w:rsidR="009175FE" w:rsidRDefault="009175FE" w:rsidP="0097158D">
      <w:pPr>
        <w:spacing w:after="0"/>
        <w:jc w:val="both"/>
        <w:rPr>
          <w:b/>
          <w:color w:val="F47D3A" w:themeColor="accent2"/>
          <w:sz w:val="26"/>
          <w:szCs w:val="26"/>
        </w:rPr>
      </w:pPr>
    </w:p>
    <w:p w:rsidR="009175FE" w:rsidRPr="00E0049E" w:rsidRDefault="009175FE" w:rsidP="0097158D">
      <w:pPr>
        <w:pStyle w:val="ListParagraph"/>
        <w:numPr>
          <w:ilvl w:val="0"/>
          <w:numId w:val="15"/>
        </w:numPr>
        <w:spacing w:after="0"/>
        <w:jc w:val="both"/>
        <w:rPr>
          <w:b/>
          <w:color w:val="F47D3A" w:themeColor="accent2"/>
          <w:sz w:val="26"/>
          <w:szCs w:val="26"/>
        </w:rPr>
      </w:pPr>
      <w:r w:rsidRPr="00E0049E">
        <w:rPr>
          <w:b/>
          <w:color w:val="F47D3A" w:themeColor="accent2"/>
          <w:sz w:val="26"/>
          <w:szCs w:val="26"/>
        </w:rPr>
        <w:t>Smart Cities</w:t>
      </w:r>
    </w:p>
    <w:p w:rsidR="009175FE" w:rsidRPr="00071851" w:rsidRDefault="009175FE" w:rsidP="0097158D">
      <w:pPr>
        <w:spacing w:after="0"/>
        <w:rPr>
          <w:sz w:val="20"/>
          <w:szCs w:val="20"/>
        </w:rPr>
      </w:pPr>
      <w:r>
        <w:rPr>
          <w:sz w:val="20"/>
          <w:szCs w:val="20"/>
        </w:rPr>
        <w:t xml:space="preserve">The SDC will </w:t>
      </w:r>
      <w:r w:rsidRPr="00071851">
        <w:rPr>
          <w:sz w:val="20"/>
          <w:szCs w:val="20"/>
        </w:rPr>
        <w:t>continue to lead UITP’s efforts on smart cities and develop capaci</w:t>
      </w:r>
      <w:r>
        <w:rPr>
          <w:sz w:val="20"/>
          <w:szCs w:val="20"/>
        </w:rPr>
        <w:t xml:space="preserve">ty, knowledge and best practice.  A number of standards bodies are developing indicator frameworks to benchmark cities on their smartness: namely </w:t>
      </w:r>
      <w:r w:rsidRPr="00AC3752">
        <w:rPr>
          <w:b/>
          <w:sz w:val="20"/>
          <w:szCs w:val="20"/>
        </w:rPr>
        <w:t xml:space="preserve">ISO 37120 and ITU U4SSC.  It is proposed that an overview of these two standards be developed and an assessment of wider indicator frameworks </w:t>
      </w:r>
      <w:r w:rsidR="00991271">
        <w:rPr>
          <w:b/>
          <w:sz w:val="20"/>
          <w:szCs w:val="20"/>
        </w:rPr>
        <w:t xml:space="preserve">currently in use </w:t>
      </w:r>
      <w:r w:rsidRPr="00AC3752">
        <w:rPr>
          <w:b/>
          <w:sz w:val="20"/>
          <w:szCs w:val="20"/>
        </w:rPr>
        <w:t xml:space="preserve">be </w:t>
      </w:r>
      <w:r w:rsidR="00AC3752" w:rsidRPr="00AC3752">
        <w:rPr>
          <w:b/>
          <w:sz w:val="20"/>
          <w:szCs w:val="20"/>
        </w:rPr>
        <w:t>analysed and linked to the Charter reporting indicators.</w:t>
      </w:r>
      <w:r w:rsidRPr="00AC3752">
        <w:rPr>
          <w:b/>
          <w:sz w:val="20"/>
          <w:szCs w:val="20"/>
        </w:rPr>
        <w:t xml:space="preserve"> </w:t>
      </w:r>
    </w:p>
    <w:p w:rsidR="009175FE" w:rsidRPr="00071851" w:rsidRDefault="009175FE" w:rsidP="0097158D">
      <w:pPr>
        <w:autoSpaceDE w:val="0"/>
        <w:autoSpaceDN w:val="0"/>
        <w:adjustRightInd w:val="0"/>
        <w:spacing w:after="0"/>
        <w:rPr>
          <w:sz w:val="20"/>
          <w:szCs w:val="20"/>
        </w:rPr>
      </w:pPr>
    </w:p>
    <w:p w:rsidR="00AC3752" w:rsidRPr="00AC3752" w:rsidRDefault="00D42071" w:rsidP="0097158D">
      <w:pPr>
        <w:autoSpaceDE w:val="0"/>
        <w:autoSpaceDN w:val="0"/>
        <w:adjustRightInd w:val="0"/>
        <w:spacing w:after="0"/>
        <w:rPr>
          <w:rFonts w:cs="BSIGesta-Light"/>
          <w:b/>
          <w:sz w:val="20"/>
          <w:szCs w:val="20"/>
        </w:rPr>
      </w:pPr>
      <w:r>
        <w:rPr>
          <w:rFonts w:cs="BSIGesta-Light"/>
          <w:b/>
          <w:sz w:val="20"/>
          <w:szCs w:val="20"/>
        </w:rPr>
        <w:t>Paper 3b</w:t>
      </w:r>
      <w:r w:rsidR="00AC3752" w:rsidRPr="00AC3752">
        <w:rPr>
          <w:rFonts w:cs="BSIGesta-Light"/>
          <w:b/>
          <w:sz w:val="20"/>
          <w:szCs w:val="20"/>
        </w:rPr>
        <w:t xml:space="preserve"> is a review of ISO37120 and its links to the UITP Sustainability Charter: for approval.</w:t>
      </w:r>
    </w:p>
    <w:p w:rsidR="009175FE" w:rsidRPr="009175FE" w:rsidRDefault="009175FE" w:rsidP="0097158D">
      <w:pPr>
        <w:spacing w:after="0"/>
        <w:jc w:val="both"/>
        <w:rPr>
          <w:b/>
          <w:color w:val="F47D3A" w:themeColor="accent2"/>
          <w:sz w:val="26"/>
          <w:szCs w:val="26"/>
        </w:rPr>
      </w:pPr>
    </w:p>
    <w:p w:rsidR="009175FE" w:rsidRPr="00E0049E" w:rsidRDefault="009175FE" w:rsidP="0097158D">
      <w:pPr>
        <w:pStyle w:val="ListParagraph"/>
        <w:numPr>
          <w:ilvl w:val="0"/>
          <w:numId w:val="15"/>
        </w:numPr>
        <w:spacing w:after="0"/>
        <w:jc w:val="both"/>
        <w:rPr>
          <w:b/>
          <w:color w:val="F47D3A" w:themeColor="accent2"/>
          <w:sz w:val="26"/>
          <w:szCs w:val="26"/>
          <w:lang w:val="fr-BE"/>
        </w:rPr>
      </w:pPr>
      <w:r w:rsidRPr="00E0049E">
        <w:rPr>
          <w:b/>
          <w:color w:val="F47D3A" w:themeColor="accent2"/>
          <w:sz w:val="26"/>
          <w:szCs w:val="26"/>
          <w:lang w:val="fr-BE"/>
        </w:rPr>
        <w:t>Air Quality</w:t>
      </w:r>
    </w:p>
    <w:p w:rsidR="009175FE" w:rsidRDefault="009175FE" w:rsidP="0097158D">
      <w:pPr>
        <w:spacing w:after="0"/>
        <w:rPr>
          <w:b/>
          <w:sz w:val="20"/>
          <w:szCs w:val="20"/>
        </w:rPr>
      </w:pPr>
      <w:r>
        <w:rPr>
          <w:sz w:val="20"/>
          <w:szCs w:val="20"/>
        </w:rPr>
        <w:t xml:space="preserve">Improving air quality and the link to health and active travel is important priority for UITP and is becoming a top priority for policy makers in all regions to address.  The definition of policy messages, the dissemination of policy briefs and official position as well as the importance of building international collaboration with other sectors outside of the public transport sector spearheaded by the SDC will be increasingly be important in these two related issues.  It is proposed that the SDC develop a </w:t>
      </w:r>
      <w:r w:rsidRPr="009175FE">
        <w:rPr>
          <w:b/>
          <w:sz w:val="20"/>
          <w:szCs w:val="20"/>
        </w:rPr>
        <w:t>policy brief on the importance of public transport in addressing air quality and health.</w:t>
      </w:r>
    </w:p>
    <w:p w:rsidR="00E0049E" w:rsidRPr="009175FE" w:rsidRDefault="00E0049E" w:rsidP="0097158D">
      <w:pPr>
        <w:spacing w:after="0"/>
        <w:rPr>
          <w:b/>
          <w:sz w:val="20"/>
          <w:szCs w:val="20"/>
        </w:rPr>
      </w:pPr>
    </w:p>
    <w:p w:rsidR="00E0049E" w:rsidRDefault="00E0049E" w:rsidP="0097158D">
      <w:pPr>
        <w:pStyle w:val="ListParagraph"/>
        <w:numPr>
          <w:ilvl w:val="0"/>
          <w:numId w:val="15"/>
        </w:numPr>
        <w:spacing w:after="0"/>
        <w:jc w:val="both"/>
        <w:rPr>
          <w:b/>
          <w:color w:val="F47D3A" w:themeColor="accent2"/>
          <w:sz w:val="26"/>
          <w:szCs w:val="26"/>
          <w:lang w:val="fr-BE"/>
        </w:rPr>
      </w:pPr>
      <w:r>
        <w:rPr>
          <w:b/>
          <w:color w:val="F47D3A" w:themeColor="accent2"/>
          <w:sz w:val="26"/>
          <w:szCs w:val="26"/>
          <w:lang w:val="fr-BE"/>
        </w:rPr>
        <w:t>EU Policy Working Group</w:t>
      </w:r>
    </w:p>
    <w:p w:rsidR="00E0049E" w:rsidRPr="002C388A" w:rsidRDefault="00E0049E" w:rsidP="0097158D">
      <w:pPr>
        <w:spacing w:after="0"/>
        <w:rPr>
          <w:sz w:val="20"/>
          <w:szCs w:val="20"/>
        </w:rPr>
      </w:pPr>
      <w:r w:rsidRPr="00AB38D5">
        <w:rPr>
          <w:sz w:val="20"/>
          <w:szCs w:val="20"/>
        </w:rPr>
        <w:t>SDC has been supporting UITP lobbying activities towards EU institutions and member st</w:t>
      </w:r>
      <w:r w:rsidR="0097158D">
        <w:rPr>
          <w:sz w:val="20"/>
          <w:szCs w:val="20"/>
        </w:rPr>
        <w:t xml:space="preserve">ates on sustainable development </w:t>
      </w:r>
      <w:r>
        <w:rPr>
          <w:sz w:val="20"/>
          <w:szCs w:val="20"/>
        </w:rPr>
        <w:t>It is proposed that this work continues and are consulted on two key dossi</w:t>
      </w:r>
      <w:r w:rsidR="002C388A">
        <w:rPr>
          <w:sz w:val="20"/>
          <w:szCs w:val="20"/>
        </w:rPr>
        <w:t>ers related to UITP activities:</w:t>
      </w:r>
    </w:p>
    <w:p w:rsidR="00E0049E" w:rsidRPr="002C388A" w:rsidRDefault="00E0049E" w:rsidP="0097158D">
      <w:pPr>
        <w:pStyle w:val="ListParagraph"/>
        <w:numPr>
          <w:ilvl w:val="0"/>
          <w:numId w:val="20"/>
        </w:numPr>
        <w:spacing w:after="0"/>
        <w:rPr>
          <w:rFonts w:ascii="Century Gothic" w:hAnsi="Century Gothic"/>
          <w:b/>
          <w:color w:val="003237"/>
          <w:sz w:val="20"/>
          <w:szCs w:val="20"/>
        </w:rPr>
      </w:pPr>
      <w:r w:rsidRPr="002C388A">
        <w:rPr>
          <w:rFonts w:ascii="Century Gothic" w:hAnsi="Century Gothic"/>
          <w:b/>
          <w:color w:val="003237"/>
          <w:sz w:val="20"/>
          <w:szCs w:val="20"/>
        </w:rPr>
        <w:t>Climate Change: the UITP EU Department has established a working group focused on desponding to the main dossiers attached to the EU’s low emissions mobility strategy:</w:t>
      </w:r>
      <w:r w:rsidR="00862E1B" w:rsidRPr="002C388A">
        <w:rPr>
          <w:rFonts w:ascii="Century Gothic" w:hAnsi="Century Gothic"/>
          <w:b/>
          <w:color w:val="003237"/>
          <w:sz w:val="20"/>
          <w:szCs w:val="20"/>
        </w:rPr>
        <w:t xml:space="preserve"> </w:t>
      </w:r>
      <w:r w:rsidRPr="002C388A">
        <w:rPr>
          <w:rFonts w:ascii="Century Gothic" w:eastAsia="Times New Roman" w:hAnsi="Century Gothic"/>
          <w:color w:val="003237"/>
          <w:sz w:val="20"/>
          <w:szCs w:val="20"/>
        </w:rPr>
        <w:t xml:space="preserve">The </w:t>
      </w:r>
      <w:r w:rsidRPr="002C388A">
        <w:rPr>
          <w:rFonts w:ascii="Century Gothic" w:eastAsia="Times New Roman" w:hAnsi="Century Gothic"/>
          <w:b/>
          <w:bCs/>
          <w:color w:val="003237"/>
          <w:sz w:val="20"/>
          <w:szCs w:val="20"/>
        </w:rPr>
        <w:t>revision of the</w:t>
      </w:r>
      <w:r w:rsidRPr="002C388A">
        <w:rPr>
          <w:rFonts w:ascii="Century Gothic" w:eastAsia="Times New Roman" w:hAnsi="Century Gothic"/>
          <w:color w:val="003237"/>
          <w:sz w:val="20"/>
          <w:szCs w:val="20"/>
        </w:rPr>
        <w:t xml:space="preserve"> </w:t>
      </w:r>
      <w:r w:rsidRPr="002C388A">
        <w:rPr>
          <w:rFonts w:ascii="Century Gothic" w:eastAsia="Times New Roman" w:hAnsi="Century Gothic"/>
          <w:b/>
          <w:bCs/>
          <w:color w:val="003237"/>
          <w:sz w:val="20"/>
          <w:szCs w:val="20"/>
        </w:rPr>
        <w:t>Clean Vehicles Directive</w:t>
      </w:r>
      <w:r w:rsidR="00862E1B" w:rsidRPr="002C388A">
        <w:rPr>
          <w:rFonts w:ascii="Century Gothic" w:eastAsia="Times New Roman" w:hAnsi="Century Gothic"/>
          <w:color w:val="003237"/>
          <w:sz w:val="20"/>
          <w:szCs w:val="20"/>
        </w:rPr>
        <w:t xml:space="preserve">; </w:t>
      </w:r>
      <w:r w:rsidRPr="002C388A">
        <w:rPr>
          <w:rFonts w:ascii="Century Gothic" w:eastAsia="Times New Roman" w:hAnsi="Century Gothic"/>
          <w:color w:val="003237"/>
          <w:sz w:val="20"/>
          <w:szCs w:val="20"/>
        </w:rPr>
        <w:t xml:space="preserve">New </w:t>
      </w:r>
      <w:r w:rsidRPr="002C388A">
        <w:rPr>
          <w:rFonts w:ascii="Century Gothic" w:eastAsia="Times New Roman" w:hAnsi="Century Gothic"/>
          <w:b/>
          <w:bCs/>
          <w:color w:val="003237"/>
          <w:sz w:val="20"/>
          <w:szCs w:val="20"/>
        </w:rPr>
        <w:t>legislation</w:t>
      </w:r>
      <w:r w:rsidRPr="002C388A">
        <w:rPr>
          <w:rFonts w:ascii="Century Gothic" w:eastAsia="Times New Roman" w:hAnsi="Century Gothic"/>
          <w:color w:val="003237"/>
          <w:sz w:val="20"/>
          <w:szCs w:val="20"/>
        </w:rPr>
        <w:t xml:space="preserve"> to measure and certify </w:t>
      </w:r>
      <w:r w:rsidRPr="002C388A">
        <w:rPr>
          <w:rFonts w:ascii="Century Gothic" w:eastAsia="Times New Roman" w:hAnsi="Century Gothic"/>
          <w:b/>
          <w:bCs/>
          <w:color w:val="003237"/>
          <w:sz w:val="20"/>
          <w:szCs w:val="20"/>
        </w:rPr>
        <w:t>CO</w:t>
      </w:r>
      <w:r w:rsidRPr="00991271">
        <w:rPr>
          <w:rFonts w:ascii="Century Gothic" w:eastAsia="Times New Roman" w:hAnsi="Century Gothic"/>
          <w:b/>
          <w:bCs/>
          <w:color w:val="003237"/>
          <w:sz w:val="20"/>
          <w:szCs w:val="20"/>
          <w:vertAlign w:val="subscript"/>
        </w:rPr>
        <w:t>2</w:t>
      </w:r>
      <w:r w:rsidRPr="002C388A">
        <w:rPr>
          <w:rFonts w:ascii="Century Gothic" w:eastAsia="Times New Roman" w:hAnsi="Century Gothic"/>
          <w:b/>
          <w:bCs/>
          <w:color w:val="003237"/>
          <w:sz w:val="20"/>
          <w:szCs w:val="20"/>
        </w:rPr>
        <w:t xml:space="preserve"> emissions of heavy duty vehicles</w:t>
      </w:r>
      <w:r w:rsidR="00862E1B" w:rsidRPr="002C388A">
        <w:rPr>
          <w:rFonts w:ascii="Century Gothic" w:eastAsia="Times New Roman" w:hAnsi="Century Gothic"/>
          <w:color w:val="003237"/>
          <w:sz w:val="20"/>
          <w:szCs w:val="20"/>
        </w:rPr>
        <w:t xml:space="preserve">; </w:t>
      </w:r>
      <w:r w:rsidRPr="002C388A">
        <w:rPr>
          <w:rFonts w:ascii="Century Gothic" w:hAnsi="Century Gothic"/>
          <w:b/>
          <w:bCs/>
          <w:color w:val="003237"/>
          <w:sz w:val="20"/>
          <w:szCs w:val="20"/>
        </w:rPr>
        <w:t>Fuel and energy issues</w:t>
      </w:r>
      <w:r w:rsidRPr="002C388A">
        <w:rPr>
          <w:rFonts w:ascii="Century Gothic" w:hAnsi="Century Gothic"/>
          <w:color w:val="003237"/>
          <w:sz w:val="20"/>
          <w:szCs w:val="20"/>
        </w:rPr>
        <w:t xml:space="preserve">, </w:t>
      </w:r>
      <w:r w:rsidRPr="002C388A">
        <w:rPr>
          <w:rFonts w:ascii="Century Gothic" w:eastAsia="Times New Roman" w:hAnsi="Century Gothic"/>
          <w:color w:val="003237"/>
          <w:sz w:val="20"/>
          <w:szCs w:val="20"/>
        </w:rPr>
        <w:t xml:space="preserve">European Investment Bank on </w:t>
      </w:r>
      <w:r w:rsidRPr="002C388A">
        <w:rPr>
          <w:rFonts w:ascii="Century Gothic" w:eastAsia="Times New Roman" w:hAnsi="Century Gothic"/>
          <w:b/>
          <w:bCs/>
          <w:color w:val="003237"/>
          <w:sz w:val="20"/>
          <w:szCs w:val="20"/>
        </w:rPr>
        <w:t xml:space="preserve">bus fleet renewal </w:t>
      </w:r>
      <w:r w:rsidRPr="002C388A">
        <w:rPr>
          <w:rFonts w:ascii="Century Gothic" w:eastAsia="Times New Roman" w:hAnsi="Century Gothic"/>
          <w:color w:val="003237"/>
          <w:sz w:val="20"/>
          <w:szCs w:val="20"/>
        </w:rPr>
        <w:t xml:space="preserve">and how this can be achieved (technically, politically) and funded. The </w:t>
      </w:r>
      <w:r w:rsidRPr="002C388A">
        <w:rPr>
          <w:rFonts w:ascii="Century Gothic" w:eastAsia="Times New Roman" w:hAnsi="Century Gothic"/>
          <w:b/>
          <w:bCs/>
          <w:color w:val="003237"/>
          <w:sz w:val="20"/>
          <w:szCs w:val="20"/>
        </w:rPr>
        <w:t>exchange of best practices and the deployment of new technologies</w:t>
      </w:r>
      <w:r w:rsidR="00862E1B" w:rsidRPr="002C388A">
        <w:rPr>
          <w:rFonts w:ascii="Century Gothic" w:eastAsia="Times New Roman" w:hAnsi="Century Gothic"/>
          <w:color w:val="003237"/>
          <w:sz w:val="20"/>
          <w:szCs w:val="20"/>
        </w:rPr>
        <w:t xml:space="preserve">; </w:t>
      </w:r>
      <w:r w:rsidRPr="002C388A">
        <w:rPr>
          <w:rFonts w:ascii="Century Gothic" w:eastAsia="Times New Roman" w:hAnsi="Century Gothic"/>
          <w:color w:val="003237"/>
          <w:sz w:val="20"/>
          <w:szCs w:val="20"/>
        </w:rPr>
        <w:t xml:space="preserve">Provide input to the Commission’s </w:t>
      </w:r>
      <w:r w:rsidRPr="002C388A">
        <w:rPr>
          <w:rFonts w:ascii="Century Gothic" w:eastAsia="Times New Roman" w:hAnsi="Century Gothic"/>
          <w:b/>
          <w:bCs/>
          <w:color w:val="003237"/>
          <w:sz w:val="20"/>
          <w:szCs w:val="20"/>
        </w:rPr>
        <w:t>New Skills Agenda</w:t>
      </w:r>
      <w:r w:rsidRPr="002C388A">
        <w:rPr>
          <w:rFonts w:ascii="Century Gothic" w:eastAsia="Times New Roman" w:hAnsi="Century Gothic"/>
          <w:color w:val="003237"/>
          <w:sz w:val="20"/>
          <w:szCs w:val="20"/>
        </w:rPr>
        <w:t xml:space="preserve"> for Europe and </w:t>
      </w:r>
      <w:r w:rsidRPr="002C388A">
        <w:rPr>
          <w:rFonts w:ascii="Century Gothic" w:eastAsia="Times New Roman" w:hAnsi="Century Gothic"/>
          <w:b/>
          <w:bCs/>
          <w:color w:val="003237"/>
          <w:sz w:val="20"/>
          <w:szCs w:val="20"/>
        </w:rPr>
        <w:t>Digital Single Market Strategy</w:t>
      </w:r>
      <w:r w:rsidRPr="002C388A">
        <w:rPr>
          <w:rFonts w:ascii="Century Gothic" w:eastAsia="Times New Roman" w:hAnsi="Century Gothic"/>
          <w:color w:val="003237"/>
          <w:sz w:val="20"/>
          <w:szCs w:val="20"/>
        </w:rPr>
        <w:t xml:space="preserve"> in relation low emissions mobility.</w:t>
      </w:r>
    </w:p>
    <w:p w:rsidR="00E0049E" w:rsidRPr="002C388A" w:rsidRDefault="00862E1B" w:rsidP="0097158D">
      <w:pPr>
        <w:pStyle w:val="ListParagraph"/>
        <w:numPr>
          <w:ilvl w:val="0"/>
          <w:numId w:val="20"/>
        </w:numPr>
        <w:spacing w:after="0"/>
        <w:rPr>
          <w:rFonts w:ascii="Century Gothic" w:hAnsi="Century Gothic"/>
          <w:b/>
          <w:color w:val="003237"/>
          <w:sz w:val="20"/>
          <w:szCs w:val="20"/>
        </w:rPr>
      </w:pPr>
      <w:r w:rsidRPr="002C388A">
        <w:rPr>
          <w:rFonts w:ascii="Century Gothic" w:hAnsi="Century Gothic"/>
          <w:b/>
          <w:color w:val="003237"/>
          <w:sz w:val="20"/>
          <w:szCs w:val="20"/>
        </w:rPr>
        <w:t xml:space="preserve">EU Urban Agenda: </w:t>
      </w:r>
      <w:r w:rsidRPr="002C388A">
        <w:rPr>
          <w:rFonts w:ascii="Century Gothic" w:hAnsi="Century Gothic" w:cs="Arial"/>
          <w:color w:val="003237"/>
          <w:sz w:val="20"/>
          <w:szCs w:val="20"/>
          <w:shd w:val="clear" w:color="auto" w:fill="FFFFFF"/>
        </w:rPr>
        <w:t>The Partnership on</w:t>
      </w:r>
      <w:r w:rsidR="0097158D">
        <w:rPr>
          <w:rFonts w:ascii="Century Gothic" w:hAnsi="Century Gothic" w:cs="Arial"/>
          <w:color w:val="003237"/>
          <w:sz w:val="20"/>
          <w:szCs w:val="20"/>
          <w:shd w:val="clear" w:color="auto" w:fill="FFFFFF"/>
        </w:rPr>
        <w:t xml:space="preserve"> Urban Mobility </w:t>
      </w:r>
      <w:r w:rsidRPr="002C388A">
        <w:rPr>
          <w:rFonts w:ascii="Century Gothic" w:hAnsi="Century Gothic" w:cs="Arial"/>
          <w:color w:val="003237"/>
          <w:sz w:val="20"/>
          <w:szCs w:val="20"/>
          <w:shd w:val="clear" w:color="auto" w:fill="FFFFFF"/>
        </w:rPr>
        <w:t xml:space="preserve">consists of 5 Member States, 8 cities (co-led by Karlsruhe, which our SDC member has been involved in), 2 regions, the European Investment Bank, the Council of European Municipalities and Regions (CEMR), EUROCITIES, URBACT, 3 Directorate-Generals of the European </w:t>
      </w:r>
      <w:r w:rsidRPr="002C388A">
        <w:rPr>
          <w:rFonts w:ascii="Century Gothic" w:hAnsi="Century Gothic" w:cs="Arial"/>
          <w:color w:val="003237"/>
          <w:sz w:val="20"/>
          <w:szCs w:val="20"/>
          <w:shd w:val="clear" w:color="auto" w:fill="FFFFFF"/>
        </w:rPr>
        <w:lastRenderedPageBreak/>
        <w:t xml:space="preserve">Commission and 3 stakeholders (including UITP). Currently, the Orientation Paper is being drafted which will provide the focus of the group and will include the sharing of best practice on public transport. </w:t>
      </w:r>
      <w:r w:rsidRPr="002C388A">
        <w:rPr>
          <w:rFonts w:ascii="Century Gothic" w:hAnsi="Century Gothic" w:cs="Arial"/>
          <w:b/>
          <w:color w:val="003237"/>
          <w:sz w:val="20"/>
          <w:szCs w:val="20"/>
          <w:shd w:val="clear" w:color="auto" w:fill="FFFFFF"/>
        </w:rPr>
        <w:t>T</w:t>
      </w:r>
      <w:r w:rsidR="007A3652">
        <w:rPr>
          <w:rFonts w:ascii="Century Gothic" w:hAnsi="Century Gothic" w:cs="Arial"/>
          <w:b/>
          <w:color w:val="003237"/>
          <w:sz w:val="20"/>
          <w:szCs w:val="20"/>
          <w:shd w:val="clear" w:color="auto" w:fill="FFFFFF"/>
        </w:rPr>
        <w:t xml:space="preserve">he objective is to have a </w:t>
      </w:r>
      <w:r w:rsidRPr="002C388A">
        <w:rPr>
          <w:rFonts w:ascii="Century Gothic" w:hAnsi="Century Gothic" w:cs="Arial"/>
          <w:b/>
          <w:color w:val="003237"/>
          <w:sz w:val="20"/>
          <w:szCs w:val="20"/>
          <w:shd w:val="clear" w:color="auto" w:fill="FFFFFF"/>
        </w:rPr>
        <w:t>Action Plan by the end of the year, consultations in 2018, and to implement the Action Plan in 2018 and 2019</w:t>
      </w:r>
      <w:r w:rsidRPr="002C388A">
        <w:rPr>
          <w:rFonts w:ascii="Century Gothic" w:hAnsi="Century Gothic" w:cs="Arial"/>
          <w:color w:val="003237"/>
          <w:sz w:val="20"/>
          <w:szCs w:val="20"/>
          <w:shd w:val="clear" w:color="auto" w:fill="FFFFFF"/>
        </w:rPr>
        <w:t>.</w:t>
      </w:r>
    </w:p>
    <w:p w:rsidR="00862E1B" w:rsidRPr="00862E1B" w:rsidRDefault="00862E1B" w:rsidP="0097158D">
      <w:pPr>
        <w:pStyle w:val="ListParagraph"/>
        <w:spacing w:after="0"/>
        <w:rPr>
          <w:rFonts w:ascii="Century Gothic" w:hAnsi="Century Gothic"/>
          <w:b/>
          <w:color w:val="003237"/>
          <w:sz w:val="20"/>
          <w:szCs w:val="20"/>
        </w:rPr>
      </w:pPr>
    </w:p>
    <w:p w:rsidR="00E0049E" w:rsidRDefault="00862E1B" w:rsidP="0097158D">
      <w:pPr>
        <w:pStyle w:val="ListParagraph"/>
        <w:numPr>
          <w:ilvl w:val="0"/>
          <w:numId w:val="15"/>
        </w:numPr>
        <w:spacing w:after="0"/>
        <w:jc w:val="both"/>
        <w:rPr>
          <w:b/>
          <w:color w:val="F47D3A" w:themeColor="accent2"/>
          <w:sz w:val="26"/>
          <w:szCs w:val="26"/>
        </w:rPr>
      </w:pPr>
      <w:r>
        <w:rPr>
          <w:b/>
          <w:color w:val="F47D3A" w:themeColor="accent2"/>
          <w:sz w:val="26"/>
          <w:szCs w:val="26"/>
        </w:rPr>
        <w:t>International Transport Forum: Decarbonisation</w:t>
      </w:r>
    </w:p>
    <w:p w:rsidR="00862E1B" w:rsidRPr="0097158D" w:rsidRDefault="00862E1B" w:rsidP="0097158D">
      <w:pPr>
        <w:shd w:val="clear" w:color="auto" w:fill="F9FAFA"/>
        <w:spacing w:after="0"/>
        <w:rPr>
          <w:rFonts w:eastAsia="Times New Roman"/>
          <w:sz w:val="20"/>
          <w:szCs w:val="20"/>
          <w:lang w:eastAsia="en-GB"/>
        </w:rPr>
      </w:pPr>
      <w:r w:rsidRPr="0097158D">
        <w:rPr>
          <w:rFonts w:eastAsia="Times New Roman"/>
          <w:b/>
          <w:sz w:val="20"/>
          <w:szCs w:val="20"/>
          <w:lang w:eastAsia="en-GB"/>
        </w:rPr>
        <w:t>The ITF (OECD) is developing a suite of modelling tools to navigate this pathway</w:t>
      </w:r>
      <w:r w:rsidRPr="0097158D">
        <w:rPr>
          <w:rFonts w:eastAsia="Times New Roman"/>
          <w:sz w:val="20"/>
          <w:szCs w:val="20"/>
          <w:lang w:eastAsia="en-GB"/>
        </w:rPr>
        <w:t>.</w:t>
      </w:r>
    </w:p>
    <w:p w:rsidR="00862E1B" w:rsidRPr="0097158D" w:rsidRDefault="00862E1B" w:rsidP="0097158D">
      <w:pPr>
        <w:pStyle w:val="ListParagraph"/>
        <w:numPr>
          <w:ilvl w:val="0"/>
          <w:numId w:val="22"/>
        </w:numPr>
        <w:shd w:val="clear" w:color="auto" w:fill="F9FAFA"/>
        <w:spacing w:after="0"/>
        <w:rPr>
          <w:rFonts w:ascii="Century Gothic" w:eastAsia="Times New Roman" w:hAnsi="Century Gothic"/>
          <w:color w:val="003237"/>
          <w:sz w:val="20"/>
          <w:szCs w:val="20"/>
          <w:lang w:eastAsia="en-GB"/>
        </w:rPr>
      </w:pPr>
      <w:r w:rsidRPr="0097158D">
        <w:rPr>
          <w:rFonts w:ascii="Century Gothic" w:eastAsia="Times New Roman" w:hAnsi="Century Gothic"/>
          <w:color w:val="003237"/>
          <w:sz w:val="20"/>
          <w:szCs w:val="20"/>
          <w:lang w:eastAsia="en-GB"/>
        </w:rPr>
        <w:t>Data-driven computer modelling over all transport modes.</w:t>
      </w:r>
    </w:p>
    <w:p w:rsidR="00862E1B" w:rsidRPr="0097158D" w:rsidRDefault="00862E1B" w:rsidP="0097158D">
      <w:pPr>
        <w:pStyle w:val="ListParagraph"/>
        <w:numPr>
          <w:ilvl w:val="0"/>
          <w:numId w:val="22"/>
        </w:numPr>
        <w:shd w:val="clear" w:color="auto" w:fill="F9FAFA"/>
        <w:spacing w:after="0"/>
        <w:rPr>
          <w:rFonts w:ascii="Century Gothic" w:eastAsia="Times New Roman" w:hAnsi="Century Gothic"/>
          <w:color w:val="003237"/>
          <w:sz w:val="20"/>
          <w:szCs w:val="20"/>
          <w:lang w:eastAsia="en-GB"/>
        </w:rPr>
      </w:pPr>
      <w:r w:rsidRPr="0097158D">
        <w:rPr>
          <w:rFonts w:ascii="Century Gothic" w:eastAsia="Times New Roman" w:hAnsi="Century Gothic"/>
          <w:color w:val="003237"/>
          <w:sz w:val="20"/>
          <w:szCs w:val="20"/>
          <w:lang w:eastAsia="en-GB"/>
        </w:rPr>
        <w:t>Rigorous and coherent analysis of policies and outcomes, considering exogenous factors and their impacts.</w:t>
      </w:r>
    </w:p>
    <w:p w:rsidR="00862E1B" w:rsidRPr="0097158D" w:rsidRDefault="00862E1B" w:rsidP="0097158D">
      <w:pPr>
        <w:pStyle w:val="ListParagraph"/>
        <w:numPr>
          <w:ilvl w:val="0"/>
          <w:numId w:val="22"/>
        </w:numPr>
        <w:shd w:val="clear" w:color="auto" w:fill="F9FAFA"/>
        <w:spacing w:after="0"/>
        <w:rPr>
          <w:rFonts w:ascii="Century Gothic" w:eastAsia="Times New Roman" w:hAnsi="Century Gothic"/>
          <w:color w:val="003237"/>
          <w:sz w:val="20"/>
          <w:szCs w:val="20"/>
          <w:lang w:eastAsia="en-GB"/>
        </w:rPr>
      </w:pPr>
      <w:r w:rsidRPr="0097158D">
        <w:rPr>
          <w:rFonts w:ascii="Century Gothic" w:eastAsia="Times New Roman" w:hAnsi="Century Gothic"/>
          <w:color w:val="003237"/>
          <w:sz w:val="20"/>
          <w:szCs w:val="20"/>
          <w:lang w:eastAsia="en-GB"/>
        </w:rPr>
        <w:t>Simulation of technological evolution, alternative policy paths and outcomes.</w:t>
      </w:r>
    </w:p>
    <w:p w:rsidR="00862E1B" w:rsidRPr="0097158D" w:rsidRDefault="00862E1B" w:rsidP="0097158D">
      <w:pPr>
        <w:pStyle w:val="ListParagraph"/>
        <w:numPr>
          <w:ilvl w:val="0"/>
          <w:numId w:val="22"/>
        </w:numPr>
        <w:shd w:val="clear" w:color="auto" w:fill="F9FAFA"/>
        <w:spacing w:after="0"/>
        <w:rPr>
          <w:rFonts w:ascii="Century Gothic" w:eastAsia="Times New Roman" w:hAnsi="Century Gothic"/>
          <w:color w:val="003237"/>
          <w:sz w:val="20"/>
          <w:szCs w:val="20"/>
          <w:lang w:eastAsia="en-GB"/>
        </w:rPr>
      </w:pPr>
      <w:r w:rsidRPr="0097158D">
        <w:rPr>
          <w:rFonts w:ascii="Century Gothic" w:eastAsia="Times New Roman" w:hAnsi="Century Gothic"/>
          <w:color w:val="003237"/>
          <w:sz w:val="20"/>
          <w:szCs w:val="20"/>
          <w:lang w:eastAsia="en-GB"/>
        </w:rPr>
        <w:t>Collaboration and mutual learning among stakeholders.</w:t>
      </w:r>
    </w:p>
    <w:p w:rsidR="00862E1B" w:rsidRPr="0097158D" w:rsidRDefault="00862E1B" w:rsidP="0097158D">
      <w:pPr>
        <w:pStyle w:val="ListParagraph"/>
        <w:numPr>
          <w:ilvl w:val="0"/>
          <w:numId w:val="22"/>
        </w:numPr>
        <w:shd w:val="clear" w:color="auto" w:fill="F9FAFA"/>
        <w:spacing w:after="0"/>
        <w:rPr>
          <w:rFonts w:ascii="Century Gothic" w:eastAsia="Times New Roman" w:hAnsi="Century Gothic"/>
          <w:color w:val="003237"/>
          <w:sz w:val="20"/>
          <w:szCs w:val="20"/>
          <w:lang w:eastAsia="en-GB"/>
        </w:rPr>
      </w:pPr>
      <w:r w:rsidRPr="0097158D">
        <w:rPr>
          <w:rFonts w:ascii="Century Gothic" w:eastAsia="Times New Roman" w:hAnsi="Century Gothic"/>
          <w:color w:val="003237"/>
          <w:sz w:val="20"/>
          <w:szCs w:val="20"/>
          <w:lang w:eastAsia="en-GB"/>
        </w:rPr>
        <w:t>Inclusive dialogue and engagement with multiple partner organisations.</w:t>
      </w:r>
    </w:p>
    <w:p w:rsidR="0097158D" w:rsidRDefault="0097158D" w:rsidP="0097158D">
      <w:pPr>
        <w:shd w:val="clear" w:color="auto" w:fill="F9FAFA"/>
        <w:spacing w:after="0"/>
        <w:rPr>
          <w:rFonts w:eastAsia="Times New Roman"/>
          <w:b/>
          <w:sz w:val="20"/>
          <w:szCs w:val="20"/>
          <w:lang w:eastAsia="en-GB"/>
        </w:rPr>
      </w:pPr>
    </w:p>
    <w:p w:rsidR="002C388A" w:rsidRPr="0097158D" w:rsidRDefault="00862E1B" w:rsidP="0097158D">
      <w:pPr>
        <w:shd w:val="clear" w:color="auto" w:fill="F9FAFA"/>
        <w:spacing w:after="0"/>
        <w:rPr>
          <w:rFonts w:eastAsia="Times New Roman"/>
          <w:b/>
          <w:sz w:val="20"/>
          <w:szCs w:val="20"/>
          <w:lang w:eastAsia="en-GB"/>
        </w:rPr>
      </w:pPr>
      <w:r w:rsidRPr="0097158D">
        <w:rPr>
          <w:rFonts w:eastAsia="Times New Roman"/>
          <w:b/>
          <w:sz w:val="20"/>
          <w:szCs w:val="20"/>
          <w:lang w:eastAsia="en-GB"/>
        </w:rPr>
        <w:t>UITP is a partner organisation and the working group within the SDC is expected to oversee input and results of the project as well as provide recommendations as appropriate.</w:t>
      </w:r>
    </w:p>
    <w:p w:rsidR="00397B7E" w:rsidRDefault="00862E1B" w:rsidP="0097158D">
      <w:pPr>
        <w:shd w:val="clear" w:color="auto" w:fill="F9FAFA"/>
        <w:spacing w:after="0"/>
        <w:rPr>
          <w:rStyle w:val="Hyperlink"/>
          <w:sz w:val="20"/>
          <w:szCs w:val="20"/>
        </w:rPr>
      </w:pPr>
      <w:r w:rsidRPr="0097158D">
        <w:rPr>
          <w:sz w:val="20"/>
          <w:szCs w:val="20"/>
        </w:rPr>
        <w:t xml:space="preserve">Further information is available at: </w:t>
      </w:r>
      <w:hyperlink r:id="rId10" w:history="1">
        <w:r w:rsidR="002C388A" w:rsidRPr="0097158D">
          <w:rPr>
            <w:rStyle w:val="Hyperlink"/>
            <w:sz w:val="20"/>
            <w:szCs w:val="20"/>
          </w:rPr>
          <w:t>http://www.itf-oecd.org/sites/default/files/decarbonising-transport-brochure.pdf</w:t>
        </w:r>
      </w:hyperlink>
    </w:p>
    <w:sectPr w:rsidR="00397B7E" w:rsidSect="00DC0BB7">
      <w:headerReference w:type="default"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D3" w:rsidRDefault="00551BD3" w:rsidP="00DC0BB7">
      <w:pPr>
        <w:spacing w:after="0" w:line="240" w:lineRule="auto"/>
      </w:pPr>
      <w:r>
        <w:separator/>
      </w:r>
    </w:p>
  </w:endnote>
  <w:endnote w:type="continuationSeparator" w:id="0">
    <w:p w:rsidR="00551BD3" w:rsidRDefault="00551BD3" w:rsidP="00DC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SIGesta-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4294898"/>
      <w:docPartObj>
        <w:docPartGallery w:val="Page Numbers (Bottom of Page)"/>
        <w:docPartUnique/>
      </w:docPartObj>
    </w:sdtPr>
    <w:sdtEndPr>
      <w:rPr>
        <w:noProof/>
      </w:rPr>
    </w:sdtEndPr>
    <w:sdtContent>
      <w:p w:rsidR="0097158D" w:rsidRDefault="0097158D">
        <w:pPr>
          <w:pStyle w:val="Footer"/>
          <w:jc w:val="right"/>
        </w:pPr>
        <w:r>
          <w:fldChar w:fldCharType="begin"/>
        </w:r>
        <w:r>
          <w:instrText xml:space="preserve"> PAGE   \* MERGEFORMAT </w:instrText>
        </w:r>
        <w:r>
          <w:fldChar w:fldCharType="separate"/>
        </w:r>
        <w:r w:rsidR="00397B7E">
          <w:rPr>
            <w:noProof/>
          </w:rPr>
          <w:t>2</w:t>
        </w:r>
        <w:r>
          <w:rPr>
            <w:noProof/>
          </w:rPr>
          <w:fldChar w:fldCharType="end"/>
        </w:r>
      </w:p>
    </w:sdtContent>
  </w:sdt>
  <w:p w:rsidR="0097158D" w:rsidRDefault="009715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868013"/>
      <w:docPartObj>
        <w:docPartGallery w:val="Page Numbers (Bottom of Page)"/>
        <w:docPartUnique/>
      </w:docPartObj>
    </w:sdtPr>
    <w:sdtEndPr>
      <w:rPr>
        <w:noProof/>
      </w:rPr>
    </w:sdtEndPr>
    <w:sdtContent>
      <w:p w:rsidR="0097158D" w:rsidRDefault="0097158D">
        <w:pPr>
          <w:pStyle w:val="Footer"/>
          <w:jc w:val="right"/>
        </w:pPr>
        <w:r>
          <w:fldChar w:fldCharType="begin"/>
        </w:r>
        <w:r>
          <w:instrText xml:space="preserve"> PAGE   \* MERGEFORMAT </w:instrText>
        </w:r>
        <w:r>
          <w:fldChar w:fldCharType="separate"/>
        </w:r>
        <w:r w:rsidR="00397B7E">
          <w:rPr>
            <w:noProof/>
          </w:rPr>
          <w:t>1</w:t>
        </w:r>
        <w:r>
          <w:rPr>
            <w:noProof/>
          </w:rPr>
          <w:fldChar w:fldCharType="end"/>
        </w:r>
      </w:p>
    </w:sdtContent>
  </w:sdt>
  <w:p w:rsidR="0097158D" w:rsidRDefault="009715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D3" w:rsidRDefault="00551BD3" w:rsidP="00DC0BB7">
      <w:pPr>
        <w:spacing w:after="0" w:line="240" w:lineRule="auto"/>
      </w:pPr>
      <w:r>
        <w:separator/>
      </w:r>
    </w:p>
  </w:footnote>
  <w:footnote w:type="continuationSeparator" w:id="0">
    <w:p w:rsidR="00551BD3" w:rsidRDefault="00551BD3" w:rsidP="00DC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7" w:rsidRDefault="002F577B">
    <w:pPr>
      <w:pStyle w:val="Header"/>
    </w:pPr>
    <w:r>
      <w:rPr>
        <w:noProof/>
        <w:lang w:eastAsia="en-GB"/>
      </w:rPr>
      <w:drawing>
        <wp:anchor distT="0" distB="0" distL="114300" distR="114300" simplePos="0" relativeHeight="251658240" behindDoc="0" locked="0" layoutInCell="1" allowOverlap="1">
          <wp:simplePos x="0" y="0"/>
          <wp:positionH relativeFrom="column">
            <wp:posOffset>-956945</wp:posOffset>
          </wp:positionH>
          <wp:positionV relativeFrom="page">
            <wp:posOffset>0</wp:posOffset>
          </wp:positionV>
          <wp:extent cx="7820025" cy="1943100"/>
          <wp:effectExtent l="19050" t="0" r="9525" b="0"/>
          <wp:wrapSquare wrapText="bothSides"/>
          <wp:docPr id="2" name="Picture 1" descr="Bandeau portrait - Jaune &amp; orange - page suivante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eau portrait - Jaune &amp; orange - page suivante 02.jpg"/>
                  <pic:cNvPicPr>
                    <a:picLocks noChangeAspect="1" noChangeArrowheads="1"/>
                  </pic:cNvPicPr>
                </pic:nvPicPr>
                <pic:blipFill>
                  <a:blip r:embed="rId1"/>
                  <a:srcRect/>
                  <a:stretch>
                    <a:fillRect/>
                  </a:stretch>
                </pic:blipFill>
                <pic:spPr bwMode="auto">
                  <a:xfrm>
                    <a:off x="0" y="0"/>
                    <a:ext cx="7820025" cy="19431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557" w:rsidRDefault="002F577B">
    <w:pPr>
      <w:pStyle w:val="Header"/>
    </w:pPr>
    <w:r>
      <w:rPr>
        <w:noProof/>
        <w:lang w:eastAsia="en-GB"/>
      </w:rPr>
      <w:drawing>
        <wp:anchor distT="0" distB="0" distL="114300" distR="114300" simplePos="0" relativeHeight="251657216" behindDoc="0" locked="0" layoutInCell="1" allowOverlap="1">
          <wp:simplePos x="0" y="0"/>
          <wp:positionH relativeFrom="column">
            <wp:posOffset>14605</wp:posOffset>
          </wp:positionH>
          <wp:positionV relativeFrom="page">
            <wp:align>top</wp:align>
          </wp:positionV>
          <wp:extent cx="7559675" cy="1911350"/>
          <wp:effectExtent l="19050" t="0" r="3175" b="0"/>
          <wp:wrapSquare wrapText="bothSides"/>
          <wp:docPr id="1" name="Picture 0" descr="Bandeau portrait - Jaune &amp; orange - p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andeau portrait - Jaune &amp; orange - page 1.jpg"/>
                  <pic:cNvPicPr>
                    <a:picLocks noChangeAspect="1" noChangeArrowheads="1"/>
                  </pic:cNvPicPr>
                </pic:nvPicPr>
                <pic:blipFill>
                  <a:blip r:embed="rId1"/>
                  <a:srcRect/>
                  <a:stretch>
                    <a:fillRect/>
                  </a:stretch>
                </pic:blipFill>
                <pic:spPr bwMode="auto">
                  <a:xfrm>
                    <a:off x="0" y="0"/>
                    <a:ext cx="7559675" cy="19113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94C47"/>
    <w:multiLevelType w:val="hybridMultilevel"/>
    <w:tmpl w:val="0278EF9A"/>
    <w:lvl w:ilvl="0" w:tplc="0407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516EC5"/>
    <w:multiLevelType w:val="hybridMultilevel"/>
    <w:tmpl w:val="73CA718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09360CA8"/>
    <w:multiLevelType w:val="multilevel"/>
    <w:tmpl w:val="768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1A4733"/>
    <w:multiLevelType w:val="hybridMultilevel"/>
    <w:tmpl w:val="4356AC5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DBA5BDA"/>
    <w:multiLevelType w:val="hybridMultilevel"/>
    <w:tmpl w:val="FB7206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F15C59"/>
    <w:multiLevelType w:val="hybridMultilevel"/>
    <w:tmpl w:val="25F81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E223B1"/>
    <w:multiLevelType w:val="hybridMultilevel"/>
    <w:tmpl w:val="F738D3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DE34329"/>
    <w:multiLevelType w:val="hybridMultilevel"/>
    <w:tmpl w:val="8736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94B30"/>
    <w:multiLevelType w:val="hybridMultilevel"/>
    <w:tmpl w:val="AAF02E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020B2C"/>
    <w:multiLevelType w:val="hybridMultilevel"/>
    <w:tmpl w:val="40E03742"/>
    <w:lvl w:ilvl="0" w:tplc="4630264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356059"/>
    <w:multiLevelType w:val="hybridMultilevel"/>
    <w:tmpl w:val="729A0B0E"/>
    <w:lvl w:ilvl="0" w:tplc="080C000F">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1" w15:restartNumberingAfterBreak="0">
    <w:nsid w:val="3E3779DB"/>
    <w:multiLevelType w:val="hybridMultilevel"/>
    <w:tmpl w:val="603C38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417C2A"/>
    <w:multiLevelType w:val="multilevel"/>
    <w:tmpl w:val="768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442E60"/>
    <w:multiLevelType w:val="hybridMultilevel"/>
    <w:tmpl w:val="A8A41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21EAF"/>
    <w:multiLevelType w:val="hybridMultilevel"/>
    <w:tmpl w:val="7250D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DE7A88"/>
    <w:multiLevelType w:val="hybridMultilevel"/>
    <w:tmpl w:val="94D89BE0"/>
    <w:lvl w:ilvl="0" w:tplc="39B09DC8">
      <w:numFmt w:val="bullet"/>
      <w:lvlText w:val="-"/>
      <w:lvlJc w:val="left"/>
      <w:pPr>
        <w:ind w:left="360" w:hanging="360"/>
      </w:pPr>
      <w:rPr>
        <w:rFonts w:ascii="Times New Roman" w:eastAsia="Calibr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5DB40CE1"/>
    <w:multiLevelType w:val="hybridMultilevel"/>
    <w:tmpl w:val="6510A2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FFC5A01"/>
    <w:multiLevelType w:val="hybridMultilevel"/>
    <w:tmpl w:val="2A5EB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00C4060"/>
    <w:multiLevelType w:val="hybridMultilevel"/>
    <w:tmpl w:val="B51A4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2D11DF6"/>
    <w:multiLevelType w:val="hybridMultilevel"/>
    <w:tmpl w:val="7FCC1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355C99"/>
    <w:multiLevelType w:val="hybridMultilevel"/>
    <w:tmpl w:val="21CAC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4"/>
  </w:num>
  <w:num w:numId="4">
    <w:abstractNumId w:val="16"/>
  </w:num>
  <w:num w:numId="5">
    <w:abstractNumId w:val="3"/>
  </w:num>
  <w:num w:numId="6">
    <w:abstractNumId w:val="6"/>
  </w:num>
  <w:num w:numId="7">
    <w:abstractNumId w:val="8"/>
  </w:num>
  <w:num w:numId="8">
    <w:abstractNumId w:val="4"/>
  </w:num>
  <w:num w:numId="9">
    <w:abstractNumId w:val="17"/>
  </w:num>
  <w:num w:numId="10">
    <w:abstractNumId w:val="18"/>
  </w:num>
  <w:num w:numId="11">
    <w:abstractNumId w:val="20"/>
  </w:num>
  <w:num w:numId="12">
    <w:abstractNumId w:val="7"/>
  </w:num>
  <w:num w:numId="13">
    <w:abstractNumId w:val="13"/>
  </w:num>
  <w:num w:numId="14">
    <w:abstractNumId w:val="5"/>
  </w:num>
  <w:num w:numId="15">
    <w:abstractNumId w:val="11"/>
  </w:num>
  <w:num w:numId="16">
    <w:abstractNumId w:val="19"/>
  </w:num>
  <w:num w:numId="17">
    <w:abstractNumId w:val="1"/>
  </w:num>
  <w:num w:numId="18">
    <w:abstractNumId w:val="9"/>
  </w:num>
  <w:num w:numId="19">
    <w:abstractNumId w:val="1"/>
  </w:num>
  <w:num w:numId="20">
    <w:abstractNumId w:val="0"/>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18"/>
    <w:rsid w:val="000029F3"/>
    <w:rsid w:val="00002BD6"/>
    <w:rsid w:val="00002FB2"/>
    <w:rsid w:val="00003F57"/>
    <w:rsid w:val="00006EE2"/>
    <w:rsid w:val="00011155"/>
    <w:rsid w:val="00013D71"/>
    <w:rsid w:val="0001431D"/>
    <w:rsid w:val="000170E2"/>
    <w:rsid w:val="00017230"/>
    <w:rsid w:val="00022692"/>
    <w:rsid w:val="000227A5"/>
    <w:rsid w:val="000235B5"/>
    <w:rsid w:val="00023A79"/>
    <w:rsid w:val="00023E54"/>
    <w:rsid w:val="00024C5C"/>
    <w:rsid w:val="00024EC3"/>
    <w:rsid w:val="00025C87"/>
    <w:rsid w:val="00026A70"/>
    <w:rsid w:val="00026FEC"/>
    <w:rsid w:val="000276C3"/>
    <w:rsid w:val="000341A2"/>
    <w:rsid w:val="000342CB"/>
    <w:rsid w:val="00035F46"/>
    <w:rsid w:val="00036853"/>
    <w:rsid w:val="000368C0"/>
    <w:rsid w:val="000402BB"/>
    <w:rsid w:val="00041F4D"/>
    <w:rsid w:val="000425D4"/>
    <w:rsid w:val="00044631"/>
    <w:rsid w:val="00044C97"/>
    <w:rsid w:val="0005021F"/>
    <w:rsid w:val="000523CE"/>
    <w:rsid w:val="00055342"/>
    <w:rsid w:val="00055ABD"/>
    <w:rsid w:val="00055E36"/>
    <w:rsid w:val="00060AC8"/>
    <w:rsid w:val="00060AF5"/>
    <w:rsid w:val="00060B21"/>
    <w:rsid w:val="0006182F"/>
    <w:rsid w:val="00062779"/>
    <w:rsid w:val="00062BB9"/>
    <w:rsid w:val="000644DA"/>
    <w:rsid w:val="000649CE"/>
    <w:rsid w:val="00065BE6"/>
    <w:rsid w:val="00066229"/>
    <w:rsid w:val="00070BBD"/>
    <w:rsid w:val="00071AE0"/>
    <w:rsid w:val="00075EF1"/>
    <w:rsid w:val="00082576"/>
    <w:rsid w:val="0008389F"/>
    <w:rsid w:val="00084558"/>
    <w:rsid w:val="00085C2E"/>
    <w:rsid w:val="00086867"/>
    <w:rsid w:val="00090AC7"/>
    <w:rsid w:val="00096755"/>
    <w:rsid w:val="00097169"/>
    <w:rsid w:val="000A0604"/>
    <w:rsid w:val="000A0A31"/>
    <w:rsid w:val="000A4269"/>
    <w:rsid w:val="000A44F8"/>
    <w:rsid w:val="000A50AE"/>
    <w:rsid w:val="000A524D"/>
    <w:rsid w:val="000A658D"/>
    <w:rsid w:val="000A708E"/>
    <w:rsid w:val="000A7B6F"/>
    <w:rsid w:val="000B7FE8"/>
    <w:rsid w:val="000C211B"/>
    <w:rsid w:val="000C3FF2"/>
    <w:rsid w:val="000C4232"/>
    <w:rsid w:val="000C6587"/>
    <w:rsid w:val="000D0113"/>
    <w:rsid w:val="000D166D"/>
    <w:rsid w:val="000D1FD5"/>
    <w:rsid w:val="000D26D5"/>
    <w:rsid w:val="000D3418"/>
    <w:rsid w:val="000D42F3"/>
    <w:rsid w:val="000D48D6"/>
    <w:rsid w:val="000D4918"/>
    <w:rsid w:val="000D5852"/>
    <w:rsid w:val="000D5E77"/>
    <w:rsid w:val="000D6DCE"/>
    <w:rsid w:val="000E00CC"/>
    <w:rsid w:val="000E1184"/>
    <w:rsid w:val="000E15FF"/>
    <w:rsid w:val="000E2038"/>
    <w:rsid w:val="000E3EE7"/>
    <w:rsid w:val="000E4E0D"/>
    <w:rsid w:val="000F1622"/>
    <w:rsid w:val="000F1FF8"/>
    <w:rsid w:val="000F30E1"/>
    <w:rsid w:val="000F510E"/>
    <w:rsid w:val="000F58E7"/>
    <w:rsid w:val="000F5AB0"/>
    <w:rsid w:val="00100705"/>
    <w:rsid w:val="00100AD5"/>
    <w:rsid w:val="00102692"/>
    <w:rsid w:val="00107716"/>
    <w:rsid w:val="0010789A"/>
    <w:rsid w:val="00107A9B"/>
    <w:rsid w:val="001107A7"/>
    <w:rsid w:val="00111562"/>
    <w:rsid w:val="00112FC7"/>
    <w:rsid w:val="001136DA"/>
    <w:rsid w:val="0011413E"/>
    <w:rsid w:val="00114C88"/>
    <w:rsid w:val="00114CBC"/>
    <w:rsid w:val="00117D2D"/>
    <w:rsid w:val="00121E08"/>
    <w:rsid w:val="00122897"/>
    <w:rsid w:val="00123248"/>
    <w:rsid w:val="00123747"/>
    <w:rsid w:val="001247A0"/>
    <w:rsid w:val="001256D3"/>
    <w:rsid w:val="00130D0A"/>
    <w:rsid w:val="00131293"/>
    <w:rsid w:val="00132C87"/>
    <w:rsid w:val="00133C5A"/>
    <w:rsid w:val="00134415"/>
    <w:rsid w:val="00137EC7"/>
    <w:rsid w:val="00141E75"/>
    <w:rsid w:val="00141EDA"/>
    <w:rsid w:val="001430D1"/>
    <w:rsid w:val="00143B0E"/>
    <w:rsid w:val="00144F1B"/>
    <w:rsid w:val="00145CA8"/>
    <w:rsid w:val="001541B0"/>
    <w:rsid w:val="00156807"/>
    <w:rsid w:val="00160DF2"/>
    <w:rsid w:val="00163899"/>
    <w:rsid w:val="00163B0D"/>
    <w:rsid w:val="001641BE"/>
    <w:rsid w:val="001656DD"/>
    <w:rsid w:val="0016645E"/>
    <w:rsid w:val="001668B6"/>
    <w:rsid w:val="00167CFF"/>
    <w:rsid w:val="0017013F"/>
    <w:rsid w:val="0017284D"/>
    <w:rsid w:val="001733A8"/>
    <w:rsid w:val="00176D99"/>
    <w:rsid w:val="0017769B"/>
    <w:rsid w:val="00180732"/>
    <w:rsid w:val="0018080F"/>
    <w:rsid w:val="001811E5"/>
    <w:rsid w:val="0018132E"/>
    <w:rsid w:val="001837AD"/>
    <w:rsid w:val="00184542"/>
    <w:rsid w:val="001845C1"/>
    <w:rsid w:val="0018482D"/>
    <w:rsid w:val="001849BC"/>
    <w:rsid w:val="0018587A"/>
    <w:rsid w:val="00187C22"/>
    <w:rsid w:val="00187F4C"/>
    <w:rsid w:val="0019336A"/>
    <w:rsid w:val="00193817"/>
    <w:rsid w:val="001966CA"/>
    <w:rsid w:val="001973CE"/>
    <w:rsid w:val="00197B7D"/>
    <w:rsid w:val="001A0119"/>
    <w:rsid w:val="001A0F36"/>
    <w:rsid w:val="001A1946"/>
    <w:rsid w:val="001A308D"/>
    <w:rsid w:val="001A55FC"/>
    <w:rsid w:val="001A6E6A"/>
    <w:rsid w:val="001B0517"/>
    <w:rsid w:val="001B433C"/>
    <w:rsid w:val="001B6E91"/>
    <w:rsid w:val="001C17AF"/>
    <w:rsid w:val="001C2D55"/>
    <w:rsid w:val="001C4FE9"/>
    <w:rsid w:val="001C5EB5"/>
    <w:rsid w:val="001D0697"/>
    <w:rsid w:val="001D2FA1"/>
    <w:rsid w:val="001D5CD7"/>
    <w:rsid w:val="001D7B44"/>
    <w:rsid w:val="001E0B78"/>
    <w:rsid w:val="001E3C1B"/>
    <w:rsid w:val="001E41DB"/>
    <w:rsid w:val="001F0542"/>
    <w:rsid w:val="001F071E"/>
    <w:rsid w:val="001F0776"/>
    <w:rsid w:val="001F14A6"/>
    <w:rsid w:val="001F2CCF"/>
    <w:rsid w:val="001F674B"/>
    <w:rsid w:val="001F6D8C"/>
    <w:rsid w:val="002002A4"/>
    <w:rsid w:val="00201DD1"/>
    <w:rsid w:val="002021F1"/>
    <w:rsid w:val="00202FFC"/>
    <w:rsid w:val="00205302"/>
    <w:rsid w:val="002064E8"/>
    <w:rsid w:val="00206919"/>
    <w:rsid w:val="00206B7A"/>
    <w:rsid w:val="0020752B"/>
    <w:rsid w:val="002077C2"/>
    <w:rsid w:val="002101D9"/>
    <w:rsid w:val="00210799"/>
    <w:rsid w:val="00211044"/>
    <w:rsid w:val="00211BCA"/>
    <w:rsid w:val="00211D44"/>
    <w:rsid w:val="002151BE"/>
    <w:rsid w:val="002162D6"/>
    <w:rsid w:val="00216503"/>
    <w:rsid w:val="00217A68"/>
    <w:rsid w:val="00217CA5"/>
    <w:rsid w:val="00220EF3"/>
    <w:rsid w:val="002245EF"/>
    <w:rsid w:val="002252B9"/>
    <w:rsid w:val="0022677F"/>
    <w:rsid w:val="002273CE"/>
    <w:rsid w:val="00231647"/>
    <w:rsid w:val="00232F86"/>
    <w:rsid w:val="00236CDB"/>
    <w:rsid w:val="002400D4"/>
    <w:rsid w:val="0024088C"/>
    <w:rsid w:val="0024347A"/>
    <w:rsid w:val="00243FE9"/>
    <w:rsid w:val="00244A93"/>
    <w:rsid w:val="00244D76"/>
    <w:rsid w:val="00244EDF"/>
    <w:rsid w:val="002453C7"/>
    <w:rsid w:val="00245641"/>
    <w:rsid w:val="00251342"/>
    <w:rsid w:val="00251571"/>
    <w:rsid w:val="00251AB9"/>
    <w:rsid w:val="0025336A"/>
    <w:rsid w:val="00256265"/>
    <w:rsid w:val="00256ABC"/>
    <w:rsid w:val="0025752B"/>
    <w:rsid w:val="00257B24"/>
    <w:rsid w:val="002601AB"/>
    <w:rsid w:val="00260EA9"/>
    <w:rsid w:val="002621A1"/>
    <w:rsid w:val="00262EBF"/>
    <w:rsid w:val="00264BF1"/>
    <w:rsid w:val="00264CB6"/>
    <w:rsid w:val="00265047"/>
    <w:rsid w:val="0026656E"/>
    <w:rsid w:val="002718CE"/>
    <w:rsid w:val="00272589"/>
    <w:rsid w:val="0027596E"/>
    <w:rsid w:val="002762C7"/>
    <w:rsid w:val="002774C8"/>
    <w:rsid w:val="002802FB"/>
    <w:rsid w:val="00280868"/>
    <w:rsid w:val="00282F56"/>
    <w:rsid w:val="00283232"/>
    <w:rsid w:val="00284713"/>
    <w:rsid w:val="00284DFF"/>
    <w:rsid w:val="0028527D"/>
    <w:rsid w:val="00286F71"/>
    <w:rsid w:val="00287DC7"/>
    <w:rsid w:val="00290F0D"/>
    <w:rsid w:val="00291B1C"/>
    <w:rsid w:val="00292FCF"/>
    <w:rsid w:val="00293CD2"/>
    <w:rsid w:val="00294606"/>
    <w:rsid w:val="002959E4"/>
    <w:rsid w:val="00297961"/>
    <w:rsid w:val="002A5105"/>
    <w:rsid w:val="002A6A3C"/>
    <w:rsid w:val="002B0369"/>
    <w:rsid w:val="002B09F6"/>
    <w:rsid w:val="002B0B50"/>
    <w:rsid w:val="002B1124"/>
    <w:rsid w:val="002B5272"/>
    <w:rsid w:val="002B62F2"/>
    <w:rsid w:val="002C0E87"/>
    <w:rsid w:val="002C2268"/>
    <w:rsid w:val="002C2B21"/>
    <w:rsid w:val="002C3784"/>
    <w:rsid w:val="002C388A"/>
    <w:rsid w:val="002C3E2D"/>
    <w:rsid w:val="002C46C5"/>
    <w:rsid w:val="002C483B"/>
    <w:rsid w:val="002C4EE7"/>
    <w:rsid w:val="002C5664"/>
    <w:rsid w:val="002C65E0"/>
    <w:rsid w:val="002D092A"/>
    <w:rsid w:val="002D17EF"/>
    <w:rsid w:val="002D2A67"/>
    <w:rsid w:val="002D2B73"/>
    <w:rsid w:val="002D60F0"/>
    <w:rsid w:val="002E3AED"/>
    <w:rsid w:val="002E3BCC"/>
    <w:rsid w:val="002E5C42"/>
    <w:rsid w:val="002E7258"/>
    <w:rsid w:val="002F0DAD"/>
    <w:rsid w:val="002F1420"/>
    <w:rsid w:val="002F23F5"/>
    <w:rsid w:val="002F3191"/>
    <w:rsid w:val="002F38C4"/>
    <w:rsid w:val="002F3CD9"/>
    <w:rsid w:val="002F577B"/>
    <w:rsid w:val="002F59AB"/>
    <w:rsid w:val="0030112C"/>
    <w:rsid w:val="003026D0"/>
    <w:rsid w:val="00303E23"/>
    <w:rsid w:val="003049D5"/>
    <w:rsid w:val="00304DA0"/>
    <w:rsid w:val="003052EB"/>
    <w:rsid w:val="00305E79"/>
    <w:rsid w:val="0030641F"/>
    <w:rsid w:val="003078FD"/>
    <w:rsid w:val="0030794E"/>
    <w:rsid w:val="00307B65"/>
    <w:rsid w:val="00310154"/>
    <w:rsid w:val="00310241"/>
    <w:rsid w:val="00316BB4"/>
    <w:rsid w:val="00316FEE"/>
    <w:rsid w:val="00320D58"/>
    <w:rsid w:val="00322BE5"/>
    <w:rsid w:val="00323101"/>
    <w:rsid w:val="00323ADF"/>
    <w:rsid w:val="00323FE3"/>
    <w:rsid w:val="00324AAE"/>
    <w:rsid w:val="003263F2"/>
    <w:rsid w:val="00330511"/>
    <w:rsid w:val="003319FB"/>
    <w:rsid w:val="00332616"/>
    <w:rsid w:val="00332979"/>
    <w:rsid w:val="00333D1A"/>
    <w:rsid w:val="00333D69"/>
    <w:rsid w:val="00336EE3"/>
    <w:rsid w:val="00340C65"/>
    <w:rsid w:val="003412E4"/>
    <w:rsid w:val="003426AF"/>
    <w:rsid w:val="00343A41"/>
    <w:rsid w:val="00344C43"/>
    <w:rsid w:val="0034632C"/>
    <w:rsid w:val="00351451"/>
    <w:rsid w:val="00351B5F"/>
    <w:rsid w:val="00352B03"/>
    <w:rsid w:val="00354F32"/>
    <w:rsid w:val="003554E2"/>
    <w:rsid w:val="00356952"/>
    <w:rsid w:val="00360A3B"/>
    <w:rsid w:val="00361930"/>
    <w:rsid w:val="00362F9D"/>
    <w:rsid w:val="0036327C"/>
    <w:rsid w:val="003644C0"/>
    <w:rsid w:val="003645FB"/>
    <w:rsid w:val="00364999"/>
    <w:rsid w:val="00366652"/>
    <w:rsid w:val="00366B61"/>
    <w:rsid w:val="00367933"/>
    <w:rsid w:val="00371E37"/>
    <w:rsid w:val="00372CF4"/>
    <w:rsid w:val="00372FA2"/>
    <w:rsid w:val="0037715A"/>
    <w:rsid w:val="00380D92"/>
    <w:rsid w:val="00382996"/>
    <w:rsid w:val="003843D5"/>
    <w:rsid w:val="00385286"/>
    <w:rsid w:val="0038597F"/>
    <w:rsid w:val="00392F56"/>
    <w:rsid w:val="0039311D"/>
    <w:rsid w:val="00393C5D"/>
    <w:rsid w:val="0039436F"/>
    <w:rsid w:val="0039521A"/>
    <w:rsid w:val="00397A6A"/>
    <w:rsid w:val="00397B7E"/>
    <w:rsid w:val="003A0580"/>
    <w:rsid w:val="003A0B78"/>
    <w:rsid w:val="003A1B0B"/>
    <w:rsid w:val="003A2BAE"/>
    <w:rsid w:val="003A7727"/>
    <w:rsid w:val="003B4286"/>
    <w:rsid w:val="003B662F"/>
    <w:rsid w:val="003C0640"/>
    <w:rsid w:val="003C3B61"/>
    <w:rsid w:val="003C4027"/>
    <w:rsid w:val="003C41CC"/>
    <w:rsid w:val="003C51CB"/>
    <w:rsid w:val="003D208F"/>
    <w:rsid w:val="003D29E2"/>
    <w:rsid w:val="003D373B"/>
    <w:rsid w:val="003D490A"/>
    <w:rsid w:val="003D52FF"/>
    <w:rsid w:val="003E0622"/>
    <w:rsid w:val="003E09C7"/>
    <w:rsid w:val="003E0F3E"/>
    <w:rsid w:val="003E25F9"/>
    <w:rsid w:val="003E2A0A"/>
    <w:rsid w:val="003E3D49"/>
    <w:rsid w:val="003E5CC4"/>
    <w:rsid w:val="003F090C"/>
    <w:rsid w:val="003F231E"/>
    <w:rsid w:val="003F3DB5"/>
    <w:rsid w:val="003F61AE"/>
    <w:rsid w:val="003F71A9"/>
    <w:rsid w:val="003F7B86"/>
    <w:rsid w:val="0040225D"/>
    <w:rsid w:val="00403AE3"/>
    <w:rsid w:val="004067A0"/>
    <w:rsid w:val="00406A0E"/>
    <w:rsid w:val="00411E09"/>
    <w:rsid w:val="00415745"/>
    <w:rsid w:val="00420AD0"/>
    <w:rsid w:val="0042110D"/>
    <w:rsid w:val="00421BD0"/>
    <w:rsid w:val="00421CE3"/>
    <w:rsid w:val="00422013"/>
    <w:rsid w:val="004220BE"/>
    <w:rsid w:val="004225AE"/>
    <w:rsid w:val="00426D1C"/>
    <w:rsid w:val="00430366"/>
    <w:rsid w:val="00431F1E"/>
    <w:rsid w:val="004324E3"/>
    <w:rsid w:val="00437864"/>
    <w:rsid w:val="004407A8"/>
    <w:rsid w:val="00443335"/>
    <w:rsid w:val="00443B35"/>
    <w:rsid w:val="00444660"/>
    <w:rsid w:val="00445535"/>
    <w:rsid w:val="004467C8"/>
    <w:rsid w:val="00446935"/>
    <w:rsid w:val="00447FFA"/>
    <w:rsid w:val="00452816"/>
    <w:rsid w:val="0045408C"/>
    <w:rsid w:val="00460825"/>
    <w:rsid w:val="0046162B"/>
    <w:rsid w:val="00461F66"/>
    <w:rsid w:val="004624E1"/>
    <w:rsid w:val="00462EA3"/>
    <w:rsid w:val="00464F73"/>
    <w:rsid w:val="0046554F"/>
    <w:rsid w:val="004671A8"/>
    <w:rsid w:val="00470F77"/>
    <w:rsid w:val="00476877"/>
    <w:rsid w:val="004778EE"/>
    <w:rsid w:val="00477E47"/>
    <w:rsid w:val="004803CA"/>
    <w:rsid w:val="00480934"/>
    <w:rsid w:val="00480DFA"/>
    <w:rsid w:val="004812F4"/>
    <w:rsid w:val="00486905"/>
    <w:rsid w:val="00487A6C"/>
    <w:rsid w:val="00492F77"/>
    <w:rsid w:val="0049563F"/>
    <w:rsid w:val="00497D15"/>
    <w:rsid w:val="004A06CE"/>
    <w:rsid w:val="004A2B45"/>
    <w:rsid w:val="004A4610"/>
    <w:rsid w:val="004A7F62"/>
    <w:rsid w:val="004B02BF"/>
    <w:rsid w:val="004B15A5"/>
    <w:rsid w:val="004B1F78"/>
    <w:rsid w:val="004B26AC"/>
    <w:rsid w:val="004B7CCF"/>
    <w:rsid w:val="004C0322"/>
    <w:rsid w:val="004C13BC"/>
    <w:rsid w:val="004C24AA"/>
    <w:rsid w:val="004C69C3"/>
    <w:rsid w:val="004D0EA4"/>
    <w:rsid w:val="004D1ED8"/>
    <w:rsid w:val="004D2460"/>
    <w:rsid w:val="004D52EA"/>
    <w:rsid w:val="004D5C13"/>
    <w:rsid w:val="004D5C81"/>
    <w:rsid w:val="004D6360"/>
    <w:rsid w:val="004D7271"/>
    <w:rsid w:val="004E0197"/>
    <w:rsid w:val="004E1C28"/>
    <w:rsid w:val="004E29B7"/>
    <w:rsid w:val="004E2CFB"/>
    <w:rsid w:val="004E6456"/>
    <w:rsid w:val="004E6F5A"/>
    <w:rsid w:val="004F097C"/>
    <w:rsid w:val="004F1761"/>
    <w:rsid w:val="004F29DD"/>
    <w:rsid w:val="004F32D3"/>
    <w:rsid w:val="004F3A9F"/>
    <w:rsid w:val="004F518B"/>
    <w:rsid w:val="004F5210"/>
    <w:rsid w:val="004F53F6"/>
    <w:rsid w:val="004F5ACA"/>
    <w:rsid w:val="004F74CF"/>
    <w:rsid w:val="00503BE3"/>
    <w:rsid w:val="00504F49"/>
    <w:rsid w:val="00505116"/>
    <w:rsid w:val="005064EE"/>
    <w:rsid w:val="00507A67"/>
    <w:rsid w:val="0051610B"/>
    <w:rsid w:val="0052333B"/>
    <w:rsid w:val="0052386A"/>
    <w:rsid w:val="00523CD6"/>
    <w:rsid w:val="00524DC3"/>
    <w:rsid w:val="00525353"/>
    <w:rsid w:val="00526F98"/>
    <w:rsid w:val="00527975"/>
    <w:rsid w:val="005300AF"/>
    <w:rsid w:val="00531500"/>
    <w:rsid w:val="005336F8"/>
    <w:rsid w:val="00534C2F"/>
    <w:rsid w:val="00535C8C"/>
    <w:rsid w:val="005404A8"/>
    <w:rsid w:val="00541F97"/>
    <w:rsid w:val="00542B3D"/>
    <w:rsid w:val="005443F5"/>
    <w:rsid w:val="00544724"/>
    <w:rsid w:val="0054563E"/>
    <w:rsid w:val="00551841"/>
    <w:rsid w:val="00551BD3"/>
    <w:rsid w:val="005542D5"/>
    <w:rsid w:val="00554C1A"/>
    <w:rsid w:val="005559C0"/>
    <w:rsid w:val="00556C10"/>
    <w:rsid w:val="005570A4"/>
    <w:rsid w:val="00562AC8"/>
    <w:rsid w:val="00562DDD"/>
    <w:rsid w:val="00565621"/>
    <w:rsid w:val="00565745"/>
    <w:rsid w:val="00566185"/>
    <w:rsid w:val="00570B5C"/>
    <w:rsid w:val="00572468"/>
    <w:rsid w:val="005731CF"/>
    <w:rsid w:val="005732FE"/>
    <w:rsid w:val="0057340C"/>
    <w:rsid w:val="005735A4"/>
    <w:rsid w:val="005763A6"/>
    <w:rsid w:val="00581F4F"/>
    <w:rsid w:val="00583DE2"/>
    <w:rsid w:val="00584662"/>
    <w:rsid w:val="00584C90"/>
    <w:rsid w:val="005851F0"/>
    <w:rsid w:val="00590E99"/>
    <w:rsid w:val="005942E5"/>
    <w:rsid w:val="00596BEF"/>
    <w:rsid w:val="005A099D"/>
    <w:rsid w:val="005A3CF7"/>
    <w:rsid w:val="005A4AA5"/>
    <w:rsid w:val="005B0377"/>
    <w:rsid w:val="005B1B8E"/>
    <w:rsid w:val="005B4036"/>
    <w:rsid w:val="005B4A3B"/>
    <w:rsid w:val="005B5F3B"/>
    <w:rsid w:val="005C20AD"/>
    <w:rsid w:val="005C392E"/>
    <w:rsid w:val="005C397E"/>
    <w:rsid w:val="005C6317"/>
    <w:rsid w:val="005C7ED0"/>
    <w:rsid w:val="005D306A"/>
    <w:rsid w:val="005D341C"/>
    <w:rsid w:val="005D56FC"/>
    <w:rsid w:val="005D59AE"/>
    <w:rsid w:val="005D68D6"/>
    <w:rsid w:val="005E0759"/>
    <w:rsid w:val="005E1E87"/>
    <w:rsid w:val="005E292A"/>
    <w:rsid w:val="005E4497"/>
    <w:rsid w:val="005E633A"/>
    <w:rsid w:val="005E760B"/>
    <w:rsid w:val="005E7844"/>
    <w:rsid w:val="005F0428"/>
    <w:rsid w:val="005F0845"/>
    <w:rsid w:val="005F1CA0"/>
    <w:rsid w:val="005F1FF5"/>
    <w:rsid w:val="005F2AA7"/>
    <w:rsid w:val="005F3820"/>
    <w:rsid w:val="005F4501"/>
    <w:rsid w:val="005F615E"/>
    <w:rsid w:val="005F7ADF"/>
    <w:rsid w:val="00601A52"/>
    <w:rsid w:val="00605510"/>
    <w:rsid w:val="006156E4"/>
    <w:rsid w:val="00616F6A"/>
    <w:rsid w:val="00617BA4"/>
    <w:rsid w:val="006212DF"/>
    <w:rsid w:val="006220DB"/>
    <w:rsid w:val="006221C2"/>
    <w:rsid w:val="0062292C"/>
    <w:rsid w:val="006240F2"/>
    <w:rsid w:val="00630CAC"/>
    <w:rsid w:val="00631B1A"/>
    <w:rsid w:val="0063420D"/>
    <w:rsid w:val="006373CC"/>
    <w:rsid w:val="00637432"/>
    <w:rsid w:val="006418AE"/>
    <w:rsid w:val="006447A6"/>
    <w:rsid w:val="00644E61"/>
    <w:rsid w:val="00644FA7"/>
    <w:rsid w:val="00651165"/>
    <w:rsid w:val="00651BC1"/>
    <w:rsid w:val="006555BE"/>
    <w:rsid w:val="00657E14"/>
    <w:rsid w:val="00660F9F"/>
    <w:rsid w:val="00664157"/>
    <w:rsid w:val="00664D0E"/>
    <w:rsid w:val="00664F3F"/>
    <w:rsid w:val="0066702C"/>
    <w:rsid w:val="00670EA8"/>
    <w:rsid w:val="0067159E"/>
    <w:rsid w:val="006719E0"/>
    <w:rsid w:val="00671D1C"/>
    <w:rsid w:val="006742FE"/>
    <w:rsid w:val="0067451D"/>
    <w:rsid w:val="00677A3E"/>
    <w:rsid w:val="00680B8A"/>
    <w:rsid w:val="00682694"/>
    <w:rsid w:val="006849D8"/>
    <w:rsid w:val="006852B1"/>
    <w:rsid w:val="006911D5"/>
    <w:rsid w:val="00692E90"/>
    <w:rsid w:val="006951A0"/>
    <w:rsid w:val="00695D3C"/>
    <w:rsid w:val="00696E8F"/>
    <w:rsid w:val="006A2842"/>
    <w:rsid w:val="006A31E3"/>
    <w:rsid w:val="006A57B6"/>
    <w:rsid w:val="006A5D27"/>
    <w:rsid w:val="006B1A51"/>
    <w:rsid w:val="006B1CF6"/>
    <w:rsid w:val="006B3DE5"/>
    <w:rsid w:val="006B51AB"/>
    <w:rsid w:val="006B5762"/>
    <w:rsid w:val="006C08FC"/>
    <w:rsid w:val="006C3A75"/>
    <w:rsid w:val="006C3C3A"/>
    <w:rsid w:val="006C4D4C"/>
    <w:rsid w:val="006D049C"/>
    <w:rsid w:val="006D0783"/>
    <w:rsid w:val="006D0FB8"/>
    <w:rsid w:val="006D6A88"/>
    <w:rsid w:val="006D7AD6"/>
    <w:rsid w:val="006E0230"/>
    <w:rsid w:val="006E1361"/>
    <w:rsid w:val="006E20A1"/>
    <w:rsid w:val="006E3EC6"/>
    <w:rsid w:val="006E4116"/>
    <w:rsid w:val="006E4D10"/>
    <w:rsid w:val="006E5D96"/>
    <w:rsid w:val="006F01F5"/>
    <w:rsid w:val="006F1A0C"/>
    <w:rsid w:val="006F5DB2"/>
    <w:rsid w:val="00700269"/>
    <w:rsid w:val="0070120A"/>
    <w:rsid w:val="00704E75"/>
    <w:rsid w:val="00705B1C"/>
    <w:rsid w:val="00706781"/>
    <w:rsid w:val="00710341"/>
    <w:rsid w:val="0071056D"/>
    <w:rsid w:val="00711E0B"/>
    <w:rsid w:val="00712285"/>
    <w:rsid w:val="007145E2"/>
    <w:rsid w:val="007148BB"/>
    <w:rsid w:val="00715FAE"/>
    <w:rsid w:val="00721337"/>
    <w:rsid w:val="007218F4"/>
    <w:rsid w:val="00723A6F"/>
    <w:rsid w:val="00723BB8"/>
    <w:rsid w:val="00724DA9"/>
    <w:rsid w:val="00727A4B"/>
    <w:rsid w:val="00730A2F"/>
    <w:rsid w:val="00733C90"/>
    <w:rsid w:val="00734474"/>
    <w:rsid w:val="00734F20"/>
    <w:rsid w:val="00735DFE"/>
    <w:rsid w:val="00736D26"/>
    <w:rsid w:val="007371FF"/>
    <w:rsid w:val="00740DF9"/>
    <w:rsid w:val="0074115B"/>
    <w:rsid w:val="007428F9"/>
    <w:rsid w:val="00743E30"/>
    <w:rsid w:val="0074505C"/>
    <w:rsid w:val="00745158"/>
    <w:rsid w:val="007472E0"/>
    <w:rsid w:val="00750DFC"/>
    <w:rsid w:val="007513A1"/>
    <w:rsid w:val="0075221E"/>
    <w:rsid w:val="00753D4E"/>
    <w:rsid w:val="007547CC"/>
    <w:rsid w:val="00754EE4"/>
    <w:rsid w:val="00755073"/>
    <w:rsid w:val="00756613"/>
    <w:rsid w:val="00757BED"/>
    <w:rsid w:val="007604E0"/>
    <w:rsid w:val="0076140E"/>
    <w:rsid w:val="00762687"/>
    <w:rsid w:val="00762E08"/>
    <w:rsid w:val="00763C88"/>
    <w:rsid w:val="00764518"/>
    <w:rsid w:val="007653E6"/>
    <w:rsid w:val="00777039"/>
    <w:rsid w:val="00777DF5"/>
    <w:rsid w:val="00781FCF"/>
    <w:rsid w:val="007860DF"/>
    <w:rsid w:val="00786DD2"/>
    <w:rsid w:val="00790FC7"/>
    <w:rsid w:val="00791798"/>
    <w:rsid w:val="0079330F"/>
    <w:rsid w:val="00794D78"/>
    <w:rsid w:val="00796658"/>
    <w:rsid w:val="007A0BDE"/>
    <w:rsid w:val="007A1C91"/>
    <w:rsid w:val="007A3652"/>
    <w:rsid w:val="007A434F"/>
    <w:rsid w:val="007A49CA"/>
    <w:rsid w:val="007A5AB8"/>
    <w:rsid w:val="007A7471"/>
    <w:rsid w:val="007B086D"/>
    <w:rsid w:val="007B2B63"/>
    <w:rsid w:val="007B5D2D"/>
    <w:rsid w:val="007B63AD"/>
    <w:rsid w:val="007B7078"/>
    <w:rsid w:val="007C0F47"/>
    <w:rsid w:val="007C30A2"/>
    <w:rsid w:val="007C6526"/>
    <w:rsid w:val="007C7B53"/>
    <w:rsid w:val="007D3354"/>
    <w:rsid w:val="007D48A7"/>
    <w:rsid w:val="007E06C9"/>
    <w:rsid w:val="007E149A"/>
    <w:rsid w:val="007E3C84"/>
    <w:rsid w:val="007E40C8"/>
    <w:rsid w:val="007E419F"/>
    <w:rsid w:val="007E478D"/>
    <w:rsid w:val="007F1016"/>
    <w:rsid w:val="007F2386"/>
    <w:rsid w:val="007F26CD"/>
    <w:rsid w:val="007F46C8"/>
    <w:rsid w:val="007F6581"/>
    <w:rsid w:val="00801174"/>
    <w:rsid w:val="008029D7"/>
    <w:rsid w:val="00804EC2"/>
    <w:rsid w:val="00806790"/>
    <w:rsid w:val="008101A1"/>
    <w:rsid w:val="008116BA"/>
    <w:rsid w:val="00811B0D"/>
    <w:rsid w:val="00811FA8"/>
    <w:rsid w:val="00812100"/>
    <w:rsid w:val="008124DE"/>
    <w:rsid w:val="0081354D"/>
    <w:rsid w:val="008135DE"/>
    <w:rsid w:val="00815978"/>
    <w:rsid w:val="0081639F"/>
    <w:rsid w:val="00816C35"/>
    <w:rsid w:val="0082107E"/>
    <w:rsid w:val="008217F6"/>
    <w:rsid w:val="00822889"/>
    <w:rsid w:val="00822975"/>
    <w:rsid w:val="00823A83"/>
    <w:rsid w:val="00825EF5"/>
    <w:rsid w:val="00827557"/>
    <w:rsid w:val="0083391F"/>
    <w:rsid w:val="00835852"/>
    <w:rsid w:val="008366D4"/>
    <w:rsid w:val="00836B55"/>
    <w:rsid w:val="00837E4A"/>
    <w:rsid w:val="00840B53"/>
    <w:rsid w:val="00841EED"/>
    <w:rsid w:val="008422E4"/>
    <w:rsid w:val="00842B45"/>
    <w:rsid w:val="0084403F"/>
    <w:rsid w:val="0084509F"/>
    <w:rsid w:val="00845F11"/>
    <w:rsid w:val="00846E6B"/>
    <w:rsid w:val="00850AF3"/>
    <w:rsid w:val="0085223E"/>
    <w:rsid w:val="00852C76"/>
    <w:rsid w:val="008547C0"/>
    <w:rsid w:val="00862597"/>
    <w:rsid w:val="00862E1B"/>
    <w:rsid w:val="008647C4"/>
    <w:rsid w:val="008647E5"/>
    <w:rsid w:val="00865DD9"/>
    <w:rsid w:val="0086638E"/>
    <w:rsid w:val="00866F75"/>
    <w:rsid w:val="00866FF3"/>
    <w:rsid w:val="0087438B"/>
    <w:rsid w:val="00875042"/>
    <w:rsid w:val="00875BBD"/>
    <w:rsid w:val="00875FF0"/>
    <w:rsid w:val="00877DB0"/>
    <w:rsid w:val="008816A8"/>
    <w:rsid w:val="0088339C"/>
    <w:rsid w:val="008833BF"/>
    <w:rsid w:val="008859E2"/>
    <w:rsid w:val="00885FFE"/>
    <w:rsid w:val="0088665F"/>
    <w:rsid w:val="008910F5"/>
    <w:rsid w:val="00894078"/>
    <w:rsid w:val="00895811"/>
    <w:rsid w:val="00896217"/>
    <w:rsid w:val="00896C39"/>
    <w:rsid w:val="008A38DE"/>
    <w:rsid w:val="008A6405"/>
    <w:rsid w:val="008A7489"/>
    <w:rsid w:val="008B0629"/>
    <w:rsid w:val="008B0EF2"/>
    <w:rsid w:val="008B1D82"/>
    <w:rsid w:val="008B1E48"/>
    <w:rsid w:val="008B31C6"/>
    <w:rsid w:val="008B368F"/>
    <w:rsid w:val="008B482C"/>
    <w:rsid w:val="008C087B"/>
    <w:rsid w:val="008C0A56"/>
    <w:rsid w:val="008C16EB"/>
    <w:rsid w:val="008C3394"/>
    <w:rsid w:val="008C5D4C"/>
    <w:rsid w:val="008C64BF"/>
    <w:rsid w:val="008C78A9"/>
    <w:rsid w:val="008D315D"/>
    <w:rsid w:val="008D326B"/>
    <w:rsid w:val="008D3A95"/>
    <w:rsid w:val="008D3C30"/>
    <w:rsid w:val="008D4784"/>
    <w:rsid w:val="008D4AAC"/>
    <w:rsid w:val="008D6101"/>
    <w:rsid w:val="008D6F1F"/>
    <w:rsid w:val="008E04D4"/>
    <w:rsid w:val="008E0661"/>
    <w:rsid w:val="008E1FDE"/>
    <w:rsid w:val="008E22F5"/>
    <w:rsid w:val="008E3C27"/>
    <w:rsid w:val="008E5094"/>
    <w:rsid w:val="008E5C07"/>
    <w:rsid w:val="008E6783"/>
    <w:rsid w:val="008E6D11"/>
    <w:rsid w:val="008F22BD"/>
    <w:rsid w:val="008F27D0"/>
    <w:rsid w:val="008F2A6A"/>
    <w:rsid w:val="008F2DE5"/>
    <w:rsid w:val="008F40DF"/>
    <w:rsid w:val="008F425F"/>
    <w:rsid w:val="008F436B"/>
    <w:rsid w:val="008F495A"/>
    <w:rsid w:val="008F56DE"/>
    <w:rsid w:val="008F6F6C"/>
    <w:rsid w:val="00900661"/>
    <w:rsid w:val="00901AF0"/>
    <w:rsid w:val="00901E07"/>
    <w:rsid w:val="00901F4A"/>
    <w:rsid w:val="00902788"/>
    <w:rsid w:val="00903905"/>
    <w:rsid w:val="00904DD8"/>
    <w:rsid w:val="0090515B"/>
    <w:rsid w:val="0091154B"/>
    <w:rsid w:val="00911D91"/>
    <w:rsid w:val="0091696A"/>
    <w:rsid w:val="00916A09"/>
    <w:rsid w:val="009175FE"/>
    <w:rsid w:val="00917757"/>
    <w:rsid w:val="00917EA5"/>
    <w:rsid w:val="00922030"/>
    <w:rsid w:val="00923141"/>
    <w:rsid w:val="009250F4"/>
    <w:rsid w:val="0092710E"/>
    <w:rsid w:val="009303AF"/>
    <w:rsid w:val="00930579"/>
    <w:rsid w:val="00930708"/>
    <w:rsid w:val="00932973"/>
    <w:rsid w:val="00932F00"/>
    <w:rsid w:val="00933AED"/>
    <w:rsid w:val="009402D8"/>
    <w:rsid w:val="009410C9"/>
    <w:rsid w:val="009459B5"/>
    <w:rsid w:val="00945A28"/>
    <w:rsid w:val="00946191"/>
    <w:rsid w:val="009527FC"/>
    <w:rsid w:val="00952DC1"/>
    <w:rsid w:val="00955956"/>
    <w:rsid w:val="00955D49"/>
    <w:rsid w:val="009560FC"/>
    <w:rsid w:val="009608C8"/>
    <w:rsid w:val="00963C6D"/>
    <w:rsid w:val="00967964"/>
    <w:rsid w:val="0097158D"/>
    <w:rsid w:val="00972066"/>
    <w:rsid w:val="009725ED"/>
    <w:rsid w:val="009759E8"/>
    <w:rsid w:val="00975C2B"/>
    <w:rsid w:val="00976007"/>
    <w:rsid w:val="00982A91"/>
    <w:rsid w:val="0098482B"/>
    <w:rsid w:val="00985015"/>
    <w:rsid w:val="009864C3"/>
    <w:rsid w:val="00987FF1"/>
    <w:rsid w:val="00991271"/>
    <w:rsid w:val="00992F10"/>
    <w:rsid w:val="009A0CB0"/>
    <w:rsid w:val="009A0F0E"/>
    <w:rsid w:val="009A10F0"/>
    <w:rsid w:val="009A2EF9"/>
    <w:rsid w:val="009A49A0"/>
    <w:rsid w:val="009B1C59"/>
    <w:rsid w:val="009C08AA"/>
    <w:rsid w:val="009C23BD"/>
    <w:rsid w:val="009C28D0"/>
    <w:rsid w:val="009C4208"/>
    <w:rsid w:val="009C43BE"/>
    <w:rsid w:val="009C4B56"/>
    <w:rsid w:val="009C668D"/>
    <w:rsid w:val="009D037B"/>
    <w:rsid w:val="009D0AE8"/>
    <w:rsid w:val="009D1020"/>
    <w:rsid w:val="009D20C6"/>
    <w:rsid w:val="009D2D19"/>
    <w:rsid w:val="009D4AB2"/>
    <w:rsid w:val="009D4CCE"/>
    <w:rsid w:val="009D522D"/>
    <w:rsid w:val="009D56F5"/>
    <w:rsid w:val="009E10BE"/>
    <w:rsid w:val="009E1CF6"/>
    <w:rsid w:val="009E6987"/>
    <w:rsid w:val="009E7558"/>
    <w:rsid w:val="009E76EF"/>
    <w:rsid w:val="009F1A7B"/>
    <w:rsid w:val="009F20DD"/>
    <w:rsid w:val="009F236F"/>
    <w:rsid w:val="009F3DBB"/>
    <w:rsid w:val="009F48A5"/>
    <w:rsid w:val="009F4C95"/>
    <w:rsid w:val="009F5FB2"/>
    <w:rsid w:val="009F7122"/>
    <w:rsid w:val="009F7470"/>
    <w:rsid w:val="00A0628E"/>
    <w:rsid w:val="00A10107"/>
    <w:rsid w:val="00A10DEE"/>
    <w:rsid w:val="00A10FF5"/>
    <w:rsid w:val="00A1165E"/>
    <w:rsid w:val="00A12AF1"/>
    <w:rsid w:val="00A12D31"/>
    <w:rsid w:val="00A20205"/>
    <w:rsid w:val="00A20754"/>
    <w:rsid w:val="00A20857"/>
    <w:rsid w:val="00A22679"/>
    <w:rsid w:val="00A22830"/>
    <w:rsid w:val="00A23CD6"/>
    <w:rsid w:val="00A24E75"/>
    <w:rsid w:val="00A269CB"/>
    <w:rsid w:val="00A26CD1"/>
    <w:rsid w:val="00A31153"/>
    <w:rsid w:val="00A32245"/>
    <w:rsid w:val="00A367D1"/>
    <w:rsid w:val="00A36CD5"/>
    <w:rsid w:val="00A37177"/>
    <w:rsid w:val="00A4178A"/>
    <w:rsid w:val="00A46284"/>
    <w:rsid w:val="00A463F6"/>
    <w:rsid w:val="00A46E58"/>
    <w:rsid w:val="00A501CE"/>
    <w:rsid w:val="00A514C7"/>
    <w:rsid w:val="00A51580"/>
    <w:rsid w:val="00A52F7D"/>
    <w:rsid w:val="00A53595"/>
    <w:rsid w:val="00A5464A"/>
    <w:rsid w:val="00A554FA"/>
    <w:rsid w:val="00A559BA"/>
    <w:rsid w:val="00A57AB8"/>
    <w:rsid w:val="00A60C9C"/>
    <w:rsid w:val="00A6199E"/>
    <w:rsid w:val="00A62C72"/>
    <w:rsid w:val="00A637EA"/>
    <w:rsid w:val="00A66033"/>
    <w:rsid w:val="00A6685F"/>
    <w:rsid w:val="00A67EF6"/>
    <w:rsid w:val="00A70522"/>
    <w:rsid w:val="00A72FB0"/>
    <w:rsid w:val="00A74ADF"/>
    <w:rsid w:val="00A75B03"/>
    <w:rsid w:val="00A7639B"/>
    <w:rsid w:val="00A777B2"/>
    <w:rsid w:val="00A81ED0"/>
    <w:rsid w:val="00A82B43"/>
    <w:rsid w:val="00A85C75"/>
    <w:rsid w:val="00A92CB2"/>
    <w:rsid w:val="00A93768"/>
    <w:rsid w:val="00A93C4B"/>
    <w:rsid w:val="00A9433A"/>
    <w:rsid w:val="00A94ACF"/>
    <w:rsid w:val="00A954ED"/>
    <w:rsid w:val="00A960D6"/>
    <w:rsid w:val="00A96A23"/>
    <w:rsid w:val="00AA01BF"/>
    <w:rsid w:val="00AA02B0"/>
    <w:rsid w:val="00AA2C48"/>
    <w:rsid w:val="00AA4F2D"/>
    <w:rsid w:val="00AA5965"/>
    <w:rsid w:val="00AB0873"/>
    <w:rsid w:val="00AB1612"/>
    <w:rsid w:val="00AB1A15"/>
    <w:rsid w:val="00AB4006"/>
    <w:rsid w:val="00AB53DD"/>
    <w:rsid w:val="00AB6366"/>
    <w:rsid w:val="00AC0A41"/>
    <w:rsid w:val="00AC0CC5"/>
    <w:rsid w:val="00AC17AB"/>
    <w:rsid w:val="00AC19DA"/>
    <w:rsid w:val="00AC24D4"/>
    <w:rsid w:val="00AC268C"/>
    <w:rsid w:val="00AC2EF2"/>
    <w:rsid w:val="00AC364D"/>
    <w:rsid w:val="00AC3752"/>
    <w:rsid w:val="00AC56CF"/>
    <w:rsid w:val="00AC66D0"/>
    <w:rsid w:val="00AC7E57"/>
    <w:rsid w:val="00AD06BD"/>
    <w:rsid w:val="00AD0CBE"/>
    <w:rsid w:val="00AD0F0A"/>
    <w:rsid w:val="00AD5DFF"/>
    <w:rsid w:val="00AD652C"/>
    <w:rsid w:val="00AD76DA"/>
    <w:rsid w:val="00AE239F"/>
    <w:rsid w:val="00AE2610"/>
    <w:rsid w:val="00AE48DB"/>
    <w:rsid w:val="00AE4FFD"/>
    <w:rsid w:val="00AE596F"/>
    <w:rsid w:val="00AE59FB"/>
    <w:rsid w:val="00AE5F83"/>
    <w:rsid w:val="00AE6DFA"/>
    <w:rsid w:val="00AE72EF"/>
    <w:rsid w:val="00AE7747"/>
    <w:rsid w:val="00AF154F"/>
    <w:rsid w:val="00AF27FF"/>
    <w:rsid w:val="00AF5C88"/>
    <w:rsid w:val="00AF789E"/>
    <w:rsid w:val="00B00B52"/>
    <w:rsid w:val="00B014EC"/>
    <w:rsid w:val="00B01AFF"/>
    <w:rsid w:val="00B02461"/>
    <w:rsid w:val="00B02808"/>
    <w:rsid w:val="00B052C8"/>
    <w:rsid w:val="00B1017B"/>
    <w:rsid w:val="00B111EB"/>
    <w:rsid w:val="00B11F26"/>
    <w:rsid w:val="00B12C69"/>
    <w:rsid w:val="00B133F8"/>
    <w:rsid w:val="00B134DB"/>
    <w:rsid w:val="00B13F33"/>
    <w:rsid w:val="00B141EC"/>
    <w:rsid w:val="00B1552E"/>
    <w:rsid w:val="00B16C54"/>
    <w:rsid w:val="00B2016F"/>
    <w:rsid w:val="00B202EA"/>
    <w:rsid w:val="00B20BDC"/>
    <w:rsid w:val="00B22A99"/>
    <w:rsid w:val="00B251E4"/>
    <w:rsid w:val="00B267A0"/>
    <w:rsid w:val="00B267D7"/>
    <w:rsid w:val="00B27B7C"/>
    <w:rsid w:val="00B27DCD"/>
    <w:rsid w:val="00B27F1B"/>
    <w:rsid w:val="00B30898"/>
    <w:rsid w:val="00B3126E"/>
    <w:rsid w:val="00B35033"/>
    <w:rsid w:val="00B3513B"/>
    <w:rsid w:val="00B36F81"/>
    <w:rsid w:val="00B37A45"/>
    <w:rsid w:val="00B42275"/>
    <w:rsid w:val="00B422E4"/>
    <w:rsid w:val="00B4299C"/>
    <w:rsid w:val="00B43574"/>
    <w:rsid w:val="00B46C37"/>
    <w:rsid w:val="00B47E5F"/>
    <w:rsid w:val="00B47EA0"/>
    <w:rsid w:val="00B52DEA"/>
    <w:rsid w:val="00B542F6"/>
    <w:rsid w:val="00B55EE6"/>
    <w:rsid w:val="00B613B2"/>
    <w:rsid w:val="00B61E8F"/>
    <w:rsid w:val="00B63052"/>
    <w:rsid w:val="00B639E5"/>
    <w:rsid w:val="00B63DAA"/>
    <w:rsid w:val="00B6457B"/>
    <w:rsid w:val="00B65090"/>
    <w:rsid w:val="00B66B77"/>
    <w:rsid w:val="00B6710B"/>
    <w:rsid w:val="00B71E96"/>
    <w:rsid w:val="00B727E8"/>
    <w:rsid w:val="00B72ADF"/>
    <w:rsid w:val="00B7318A"/>
    <w:rsid w:val="00B73C09"/>
    <w:rsid w:val="00B74370"/>
    <w:rsid w:val="00B76DEE"/>
    <w:rsid w:val="00B77E39"/>
    <w:rsid w:val="00B77EDF"/>
    <w:rsid w:val="00B80294"/>
    <w:rsid w:val="00B8169C"/>
    <w:rsid w:val="00B84212"/>
    <w:rsid w:val="00B85C27"/>
    <w:rsid w:val="00B85F6B"/>
    <w:rsid w:val="00B8632A"/>
    <w:rsid w:val="00B866EE"/>
    <w:rsid w:val="00B86EFA"/>
    <w:rsid w:val="00B87188"/>
    <w:rsid w:val="00B873D3"/>
    <w:rsid w:val="00B87645"/>
    <w:rsid w:val="00B90010"/>
    <w:rsid w:val="00B90B6D"/>
    <w:rsid w:val="00B90C25"/>
    <w:rsid w:val="00B91899"/>
    <w:rsid w:val="00B92CD6"/>
    <w:rsid w:val="00B947BB"/>
    <w:rsid w:val="00BA03E8"/>
    <w:rsid w:val="00BA07FF"/>
    <w:rsid w:val="00BA1A45"/>
    <w:rsid w:val="00BA372D"/>
    <w:rsid w:val="00BA3953"/>
    <w:rsid w:val="00BA4335"/>
    <w:rsid w:val="00BA60FA"/>
    <w:rsid w:val="00BB136C"/>
    <w:rsid w:val="00BB35BC"/>
    <w:rsid w:val="00BB4706"/>
    <w:rsid w:val="00BB511F"/>
    <w:rsid w:val="00BB561C"/>
    <w:rsid w:val="00BB5AD1"/>
    <w:rsid w:val="00BC1489"/>
    <w:rsid w:val="00BC1808"/>
    <w:rsid w:val="00BC18BD"/>
    <w:rsid w:val="00BC1F88"/>
    <w:rsid w:val="00BC348C"/>
    <w:rsid w:val="00BC5DD3"/>
    <w:rsid w:val="00BD007F"/>
    <w:rsid w:val="00BD1AE8"/>
    <w:rsid w:val="00BD1D65"/>
    <w:rsid w:val="00BD26C2"/>
    <w:rsid w:val="00BD2D77"/>
    <w:rsid w:val="00BD341B"/>
    <w:rsid w:val="00BD4649"/>
    <w:rsid w:val="00BD5117"/>
    <w:rsid w:val="00BD569D"/>
    <w:rsid w:val="00BE1623"/>
    <w:rsid w:val="00BE33DB"/>
    <w:rsid w:val="00BE4023"/>
    <w:rsid w:val="00BF1757"/>
    <w:rsid w:val="00BF1A1A"/>
    <w:rsid w:val="00BF2267"/>
    <w:rsid w:val="00BF2CC1"/>
    <w:rsid w:val="00BF2D7F"/>
    <w:rsid w:val="00BF3024"/>
    <w:rsid w:val="00BF317E"/>
    <w:rsid w:val="00BF488B"/>
    <w:rsid w:val="00BF4978"/>
    <w:rsid w:val="00BF4C81"/>
    <w:rsid w:val="00BF6F19"/>
    <w:rsid w:val="00C008AB"/>
    <w:rsid w:val="00C015CF"/>
    <w:rsid w:val="00C01DAA"/>
    <w:rsid w:val="00C01EBE"/>
    <w:rsid w:val="00C064AD"/>
    <w:rsid w:val="00C06742"/>
    <w:rsid w:val="00C06998"/>
    <w:rsid w:val="00C1011F"/>
    <w:rsid w:val="00C14DE9"/>
    <w:rsid w:val="00C15E65"/>
    <w:rsid w:val="00C170B0"/>
    <w:rsid w:val="00C172FA"/>
    <w:rsid w:val="00C173BF"/>
    <w:rsid w:val="00C20197"/>
    <w:rsid w:val="00C253B8"/>
    <w:rsid w:val="00C255B8"/>
    <w:rsid w:val="00C33BB0"/>
    <w:rsid w:val="00C36F49"/>
    <w:rsid w:val="00C3727D"/>
    <w:rsid w:val="00C43B1F"/>
    <w:rsid w:val="00C44860"/>
    <w:rsid w:val="00C44B64"/>
    <w:rsid w:val="00C45DCB"/>
    <w:rsid w:val="00C4673B"/>
    <w:rsid w:val="00C47901"/>
    <w:rsid w:val="00C50B42"/>
    <w:rsid w:val="00C50B59"/>
    <w:rsid w:val="00C525E4"/>
    <w:rsid w:val="00C527D6"/>
    <w:rsid w:val="00C529FB"/>
    <w:rsid w:val="00C53A5F"/>
    <w:rsid w:val="00C56E41"/>
    <w:rsid w:val="00C5769E"/>
    <w:rsid w:val="00C5785D"/>
    <w:rsid w:val="00C57BF7"/>
    <w:rsid w:val="00C65BAB"/>
    <w:rsid w:val="00C660B4"/>
    <w:rsid w:val="00C6757A"/>
    <w:rsid w:val="00C67B87"/>
    <w:rsid w:val="00C7057B"/>
    <w:rsid w:val="00C70F65"/>
    <w:rsid w:val="00C7163A"/>
    <w:rsid w:val="00C71C34"/>
    <w:rsid w:val="00C728B0"/>
    <w:rsid w:val="00C73B0F"/>
    <w:rsid w:val="00C74464"/>
    <w:rsid w:val="00C74FF4"/>
    <w:rsid w:val="00C76173"/>
    <w:rsid w:val="00C77697"/>
    <w:rsid w:val="00C77C64"/>
    <w:rsid w:val="00C80439"/>
    <w:rsid w:val="00C810AA"/>
    <w:rsid w:val="00C843D1"/>
    <w:rsid w:val="00C85DA6"/>
    <w:rsid w:val="00C86A40"/>
    <w:rsid w:val="00C8738C"/>
    <w:rsid w:val="00C9031B"/>
    <w:rsid w:val="00C9047F"/>
    <w:rsid w:val="00C906CF"/>
    <w:rsid w:val="00C90AA3"/>
    <w:rsid w:val="00C93218"/>
    <w:rsid w:val="00C94852"/>
    <w:rsid w:val="00C953F1"/>
    <w:rsid w:val="00C9582C"/>
    <w:rsid w:val="00C95E12"/>
    <w:rsid w:val="00C9684F"/>
    <w:rsid w:val="00CA2244"/>
    <w:rsid w:val="00CA3EAD"/>
    <w:rsid w:val="00CA421C"/>
    <w:rsid w:val="00CB25E6"/>
    <w:rsid w:val="00CB3C9E"/>
    <w:rsid w:val="00CB668D"/>
    <w:rsid w:val="00CC097F"/>
    <w:rsid w:val="00CC229B"/>
    <w:rsid w:val="00CC3C76"/>
    <w:rsid w:val="00CC3D47"/>
    <w:rsid w:val="00CC59D2"/>
    <w:rsid w:val="00CC5E84"/>
    <w:rsid w:val="00CC62CA"/>
    <w:rsid w:val="00CC6B2D"/>
    <w:rsid w:val="00CC7ED2"/>
    <w:rsid w:val="00CD09E6"/>
    <w:rsid w:val="00CD4B7B"/>
    <w:rsid w:val="00CD4C7B"/>
    <w:rsid w:val="00CD599D"/>
    <w:rsid w:val="00CD672A"/>
    <w:rsid w:val="00CD69C7"/>
    <w:rsid w:val="00CE1232"/>
    <w:rsid w:val="00CE50C5"/>
    <w:rsid w:val="00CE5970"/>
    <w:rsid w:val="00CE6C8A"/>
    <w:rsid w:val="00CF0178"/>
    <w:rsid w:val="00CF1127"/>
    <w:rsid w:val="00CF12F4"/>
    <w:rsid w:val="00CF15EB"/>
    <w:rsid w:val="00CF2956"/>
    <w:rsid w:val="00CF6061"/>
    <w:rsid w:val="00CF7F73"/>
    <w:rsid w:val="00D005C3"/>
    <w:rsid w:val="00D005ED"/>
    <w:rsid w:val="00D00736"/>
    <w:rsid w:val="00D00B42"/>
    <w:rsid w:val="00D02DEA"/>
    <w:rsid w:val="00D051B5"/>
    <w:rsid w:val="00D064CC"/>
    <w:rsid w:val="00D06AA3"/>
    <w:rsid w:val="00D07673"/>
    <w:rsid w:val="00D07E84"/>
    <w:rsid w:val="00D12533"/>
    <w:rsid w:val="00D12A3E"/>
    <w:rsid w:val="00D1377C"/>
    <w:rsid w:val="00D14C24"/>
    <w:rsid w:val="00D16722"/>
    <w:rsid w:val="00D174E0"/>
    <w:rsid w:val="00D20CB8"/>
    <w:rsid w:val="00D2272A"/>
    <w:rsid w:val="00D22B5C"/>
    <w:rsid w:val="00D241AD"/>
    <w:rsid w:val="00D25758"/>
    <w:rsid w:val="00D25D89"/>
    <w:rsid w:val="00D2758F"/>
    <w:rsid w:val="00D310C7"/>
    <w:rsid w:val="00D32957"/>
    <w:rsid w:val="00D33332"/>
    <w:rsid w:val="00D33917"/>
    <w:rsid w:val="00D34197"/>
    <w:rsid w:val="00D41554"/>
    <w:rsid w:val="00D42071"/>
    <w:rsid w:val="00D428F5"/>
    <w:rsid w:val="00D42DC9"/>
    <w:rsid w:val="00D43499"/>
    <w:rsid w:val="00D4369B"/>
    <w:rsid w:val="00D4776F"/>
    <w:rsid w:val="00D47A1A"/>
    <w:rsid w:val="00D50CF3"/>
    <w:rsid w:val="00D5120E"/>
    <w:rsid w:val="00D51A04"/>
    <w:rsid w:val="00D5306A"/>
    <w:rsid w:val="00D539C6"/>
    <w:rsid w:val="00D53CFF"/>
    <w:rsid w:val="00D541BA"/>
    <w:rsid w:val="00D55345"/>
    <w:rsid w:val="00D55EB6"/>
    <w:rsid w:val="00D5679E"/>
    <w:rsid w:val="00D56F6B"/>
    <w:rsid w:val="00D579AE"/>
    <w:rsid w:val="00D57A5A"/>
    <w:rsid w:val="00D6067C"/>
    <w:rsid w:val="00D61227"/>
    <w:rsid w:val="00D61347"/>
    <w:rsid w:val="00D61E0E"/>
    <w:rsid w:val="00D62894"/>
    <w:rsid w:val="00D66654"/>
    <w:rsid w:val="00D7167F"/>
    <w:rsid w:val="00D7307C"/>
    <w:rsid w:val="00D73A1A"/>
    <w:rsid w:val="00D7430C"/>
    <w:rsid w:val="00D74A49"/>
    <w:rsid w:val="00D76738"/>
    <w:rsid w:val="00D77651"/>
    <w:rsid w:val="00D8004F"/>
    <w:rsid w:val="00D84AB5"/>
    <w:rsid w:val="00D90613"/>
    <w:rsid w:val="00D91F58"/>
    <w:rsid w:val="00D923D5"/>
    <w:rsid w:val="00D923EE"/>
    <w:rsid w:val="00D9263F"/>
    <w:rsid w:val="00D926E3"/>
    <w:rsid w:val="00D927AD"/>
    <w:rsid w:val="00D95C45"/>
    <w:rsid w:val="00D95E29"/>
    <w:rsid w:val="00D95F23"/>
    <w:rsid w:val="00DA2631"/>
    <w:rsid w:val="00DA386D"/>
    <w:rsid w:val="00DA3984"/>
    <w:rsid w:val="00DA425A"/>
    <w:rsid w:val="00DA4475"/>
    <w:rsid w:val="00DB1393"/>
    <w:rsid w:val="00DB21B8"/>
    <w:rsid w:val="00DB3E28"/>
    <w:rsid w:val="00DB449A"/>
    <w:rsid w:val="00DB4646"/>
    <w:rsid w:val="00DC0BB7"/>
    <w:rsid w:val="00DC1337"/>
    <w:rsid w:val="00DC3B99"/>
    <w:rsid w:val="00DC47E3"/>
    <w:rsid w:val="00DC4981"/>
    <w:rsid w:val="00DC5ED1"/>
    <w:rsid w:val="00DC790E"/>
    <w:rsid w:val="00DC7DF2"/>
    <w:rsid w:val="00DD6405"/>
    <w:rsid w:val="00DD7A51"/>
    <w:rsid w:val="00DE02CB"/>
    <w:rsid w:val="00DE349B"/>
    <w:rsid w:val="00DE49B1"/>
    <w:rsid w:val="00DF0183"/>
    <w:rsid w:val="00DF0A74"/>
    <w:rsid w:val="00DF18FD"/>
    <w:rsid w:val="00DF1B52"/>
    <w:rsid w:val="00DF3CB1"/>
    <w:rsid w:val="00DF4B04"/>
    <w:rsid w:val="00DF4DD1"/>
    <w:rsid w:val="00DF7403"/>
    <w:rsid w:val="00E0049E"/>
    <w:rsid w:val="00E0296A"/>
    <w:rsid w:val="00E07BD1"/>
    <w:rsid w:val="00E130B9"/>
    <w:rsid w:val="00E14EE5"/>
    <w:rsid w:val="00E17B3C"/>
    <w:rsid w:val="00E17E3D"/>
    <w:rsid w:val="00E2265E"/>
    <w:rsid w:val="00E227B2"/>
    <w:rsid w:val="00E249B2"/>
    <w:rsid w:val="00E268AF"/>
    <w:rsid w:val="00E27F36"/>
    <w:rsid w:val="00E30E7D"/>
    <w:rsid w:val="00E3116F"/>
    <w:rsid w:val="00E31638"/>
    <w:rsid w:val="00E318BB"/>
    <w:rsid w:val="00E33A53"/>
    <w:rsid w:val="00E36AD4"/>
    <w:rsid w:val="00E42FAB"/>
    <w:rsid w:val="00E46B7F"/>
    <w:rsid w:val="00E50599"/>
    <w:rsid w:val="00E51C0B"/>
    <w:rsid w:val="00E60F8C"/>
    <w:rsid w:val="00E62C9A"/>
    <w:rsid w:val="00E63B94"/>
    <w:rsid w:val="00E64BA6"/>
    <w:rsid w:val="00E650C0"/>
    <w:rsid w:val="00E65460"/>
    <w:rsid w:val="00E65A03"/>
    <w:rsid w:val="00E66082"/>
    <w:rsid w:val="00E67597"/>
    <w:rsid w:val="00E715F4"/>
    <w:rsid w:val="00E7214E"/>
    <w:rsid w:val="00E729D1"/>
    <w:rsid w:val="00E7351D"/>
    <w:rsid w:val="00E74597"/>
    <w:rsid w:val="00E7468E"/>
    <w:rsid w:val="00E74A5D"/>
    <w:rsid w:val="00E75522"/>
    <w:rsid w:val="00E80D21"/>
    <w:rsid w:val="00E8108D"/>
    <w:rsid w:val="00E83C06"/>
    <w:rsid w:val="00E853B0"/>
    <w:rsid w:val="00E87452"/>
    <w:rsid w:val="00E9075C"/>
    <w:rsid w:val="00E93BF0"/>
    <w:rsid w:val="00E93F2F"/>
    <w:rsid w:val="00E946B9"/>
    <w:rsid w:val="00EA08AB"/>
    <w:rsid w:val="00EA11E7"/>
    <w:rsid w:val="00EA5702"/>
    <w:rsid w:val="00EA67FD"/>
    <w:rsid w:val="00EA7D34"/>
    <w:rsid w:val="00EA7F56"/>
    <w:rsid w:val="00EB071D"/>
    <w:rsid w:val="00EB3E5C"/>
    <w:rsid w:val="00EB4189"/>
    <w:rsid w:val="00EB455B"/>
    <w:rsid w:val="00EB4D6A"/>
    <w:rsid w:val="00EB50E7"/>
    <w:rsid w:val="00EB6640"/>
    <w:rsid w:val="00EC09B5"/>
    <w:rsid w:val="00EC58A3"/>
    <w:rsid w:val="00EC5A19"/>
    <w:rsid w:val="00EC613A"/>
    <w:rsid w:val="00EC662F"/>
    <w:rsid w:val="00ED1E18"/>
    <w:rsid w:val="00ED261F"/>
    <w:rsid w:val="00ED2E70"/>
    <w:rsid w:val="00ED3FE9"/>
    <w:rsid w:val="00ED62B2"/>
    <w:rsid w:val="00ED6AA4"/>
    <w:rsid w:val="00ED7157"/>
    <w:rsid w:val="00EE3A0F"/>
    <w:rsid w:val="00EE4025"/>
    <w:rsid w:val="00EE4B74"/>
    <w:rsid w:val="00EE5030"/>
    <w:rsid w:val="00EF0509"/>
    <w:rsid w:val="00EF2A17"/>
    <w:rsid w:val="00EF4DD2"/>
    <w:rsid w:val="00F03CD0"/>
    <w:rsid w:val="00F04A9F"/>
    <w:rsid w:val="00F06C91"/>
    <w:rsid w:val="00F123CB"/>
    <w:rsid w:val="00F13357"/>
    <w:rsid w:val="00F14957"/>
    <w:rsid w:val="00F1734B"/>
    <w:rsid w:val="00F20576"/>
    <w:rsid w:val="00F22483"/>
    <w:rsid w:val="00F2290C"/>
    <w:rsid w:val="00F25251"/>
    <w:rsid w:val="00F25A56"/>
    <w:rsid w:val="00F27185"/>
    <w:rsid w:val="00F27A33"/>
    <w:rsid w:val="00F30805"/>
    <w:rsid w:val="00F31666"/>
    <w:rsid w:val="00F32C60"/>
    <w:rsid w:val="00F336F5"/>
    <w:rsid w:val="00F35C72"/>
    <w:rsid w:val="00F36314"/>
    <w:rsid w:val="00F36711"/>
    <w:rsid w:val="00F37409"/>
    <w:rsid w:val="00F41CA5"/>
    <w:rsid w:val="00F45954"/>
    <w:rsid w:val="00F4614C"/>
    <w:rsid w:val="00F514F3"/>
    <w:rsid w:val="00F51961"/>
    <w:rsid w:val="00F533F8"/>
    <w:rsid w:val="00F53D24"/>
    <w:rsid w:val="00F53DC2"/>
    <w:rsid w:val="00F540CC"/>
    <w:rsid w:val="00F56B1E"/>
    <w:rsid w:val="00F56EF0"/>
    <w:rsid w:val="00F57FC5"/>
    <w:rsid w:val="00F6104A"/>
    <w:rsid w:val="00F610EF"/>
    <w:rsid w:val="00F64491"/>
    <w:rsid w:val="00F65D5B"/>
    <w:rsid w:val="00F67C10"/>
    <w:rsid w:val="00F67F19"/>
    <w:rsid w:val="00F70BC5"/>
    <w:rsid w:val="00F72F06"/>
    <w:rsid w:val="00F7450C"/>
    <w:rsid w:val="00F75459"/>
    <w:rsid w:val="00F75555"/>
    <w:rsid w:val="00F75E08"/>
    <w:rsid w:val="00F803BC"/>
    <w:rsid w:val="00F83EBB"/>
    <w:rsid w:val="00F8411F"/>
    <w:rsid w:val="00F8471D"/>
    <w:rsid w:val="00F85196"/>
    <w:rsid w:val="00F8569E"/>
    <w:rsid w:val="00F86540"/>
    <w:rsid w:val="00F86C57"/>
    <w:rsid w:val="00F87EEF"/>
    <w:rsid w:val="00F914AE"/>
    <w:rsid w:val="00F9468F"/>
    <w:rsid w:val="00FA083B"/>
    <w:rsid w:val="00FA2333"/>
    <w:rsid w:val="00FA3BFA"/>
    <w:rsid w:val="00FA55FA"/>
    <w:rsid w:val="00FA5D75"/>
    <w:rsid w:val="00FA67DC"/>
    <w:rsid w:val="00FA6E92"/>
    <w:rsid w:val="00FA6F3E"/>
    <w:rsid w:val="00FB1503"/>
    <w:rsid w:val="00FB1FCF"/>
    <w:rsid w:val="00FB429D"/>
    <w:rsid w:val="00FB4D1A"/>
    <w:rsid w:val="00FB55A5"/>
    <w:rsid w:val="00FB5C96"/>
    <w:rsid w:val="00FB7F97"/>
    <w:rsid w:val="00FC1D34"/>
    <w:rsid w:val="00FC2442"/>
    <w:rsid w:val="00FC4034"/>
    <w:rsid w:val="00FC40F0"/>
    <w:rsid w:val="00FC7893"/>
    <w:rsid w:val="00FD5EE7"/>
    <w:rsid w:val="00FD7555"/>
    <w:rsid w:val="00FE4856"/>
    <w:rsid w:val="00FE5374"/>
    <w:rsid w:val="00FE619C"/>
    <w:rsid w:val="00FE67C7"/>
    <w:rsid w:val="00FF271E"/>
    <w:rsid w:val="00FF2B3A"/>
    <w:rsid w:val="00FF45FA"/>
    <w:rsid w:val="00FF48C5"/>
    <w:rsid w:val="00FF4E93"/>
    <w:rsid w:val="00FF533C"/>
    <w:rsid w:val="00FF580C"/>
    <w:rsid w:val="00FF7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A4E3FC-F94F-453D-B587-4FDE61A4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Calibri" w:hAnsi="Century Gothic"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258"/>
    <w:pPr>
      <w:spacing w:after="200" w:line="276" w:lineRule="auto"/>
    </w:pPr>
    <w:rPr>
      <w:color w:val="003237"/>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BB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C0BB7"/>
  </w:style>
  <w:style w:type="paragraph" w:styleId="Footer">
    <w:name w:val="footer"/>
    <w:basedOn w:val="Normal"/>
    <w:link w:val="FooterChar"/>
    <w:uiPriority w:val="99"/>
    <w:unhideWhenUsed/>
    <w:rsid w:val="00DC0B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C0BB7"/>
  </w:style>
  <w:style w:type="paragraph" w:styleId="BalloonText">
    <w:name w:val="Balloon Text"/>
    <w:basedOn w:val="Normal"/>
    <w:link w:val="BalloonTextChar"/>
    <w:uiPriority w:val="99"/>
    <w:semiHidden/>
    <w:unhideWhenUsed/>
    <w:rsid w:val="00DC0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BB7"/>
    <w:rPr>
      <w:rFonts w:ascii="Tahoma" w:hAnsi="Tahoma" w:cs="Tahoma"/>
      <w:sz w:val="16"/>
      <w:szCs w:val="16"/>
    </w:rPr>
  </w:style>
  <w:style w:type="paragraph" w:styleId="ListParagraph">
    <w:name w:val="List Paragraph"/>
    <w:aliases w:val="Paragraphe de liste,TITRE I EUROTRAN,Puce Eurotran 1"/>
    <w:basedOn w:val="Normal"/>
    <w:uiPriority w:val="34"/>
    <w:qFormat/>
    <w:rsid w:val="00CC3C76"/>
    <w:pPr>
      <w:ind w:left="720"/>
      <w:contextualSpacing/>
    </w:pPr>
    <w:rPr>
      <w:rFonts w:ascii="Calibri" w:hAnsi="Calibri"/>
      <w:color w:val="auto"/>
    </w:rPr>
  </w:style>
  <w:style w:type="character" w:styleId="Hyperlink">
    <w:name w:val="Hyperlink"/>
    <w:basedOn w:val="DefaultParagraphFont"/>
    <w:uiPriority w:val="99"/>
    <w:unhideWhenUsed/>
    <w:rsid w:val="00CC3C76"/>
    <w:rPr>
      <w:color w:val="0000FF"/>
      <w:u w:val="single"/>
    </w:rPr>
  </w:style>
  <w:style w:type="character" w:styleId="FollowedHyperlink">
    <w:name w:val="FollowedHyperlink"/>
    <w:basedOn w:val="DefaultParagraphFont"/>
    <w:uiPriority w:val="99"/>
    <w:semiHidden/>
    <w:unhideWhenUsed/>
    <w:rsid w:val="004803CA"/>
    <w:rPr>
      <w:color w:val="800080"/>
      <w:u w:val="single"/>
    </w:rPr>
  </w:style>
  <w:style w:type="paragraph" w:styleId="NormalWeb">
    <w:name w:val="Normal (Web)"/>
    <w:basedOn w:val="Normal"/>
    <w:uiPriority w:val="99"/>
    <w:unhideWhenUsed/>
    <w:rsid w:val="00764518"/>
    <w:pPr>
      <w:spacing w:before="100" w:beforeAutospacing="1" w:after="100" w:afterAutospacing="1" w:line="240" w:lineRule="auto"/>
    </w:pPr>
    <w:rPr>
      <w:rFonts w:ascii="Times New Roman" w:eastAsia="Times New Roman" w:hAnsi="Times New Roman"/>
      <w:color w:val="auto"/>
      <w:sz w:val="24"/>
      <w:szCs w:val="24"/>
      <w:lang w:val="fr-BE" w:eastAsia="fr-BE"/>
    </w:rPr>
  </w:style>
  <w:style w:type="paragraph" w:styleId="FootnoteText">
    <w:name w:val="footnote text"/>
    <w:basedOn w:val="Normal"/>
    <w:link w:val="FootnoteTextChar"/>
    <w:uiPriority w:val="99"/>
    <w:semiHidden/>
    <w:unhideWhenUsed/>
    <w:rsid w:val="00764518"/>
    <w:pPr>
      <w:spacing w:after="0" w:line="240" w:lineRule="auto"/>
    </w:pPr>
    <w:rPr>
      <w:rFonts w:asciiTheme="minorHAnsi" w:eastAsiaTheme="minorHAnsi" w:hAnsiTheme="minorHAnsi" w:cstheme="minorBidi"/>
      <w:color w:val="auto"/>
      <w:sz w:val="20"/>
      <w:szCs w:val="20"/>
      <w:lang w:val="fr-BE"/>
    </w:rPr>
  </w:style>
  <w:style w:type="character" w:customStyle="1" w:styleId="FootnoteTextChar">
    <w:name w:val="Footnote Text Char"/>
    <w:basedOn w:val="DefaultParagraphFont"/>
    <w:link w:val="FootnoteText"/>
    <w:uiPriority w:val="99"/>
    <w:semiHidden/>
    <w:rsid w:val="00764518"/>
    <w:rPr>
      <w:rFonts w:asciiTheme="minorHAnsi" w:eastAsiaTheme="minorHAnsi" w:hAnsiTheme="minorHAnsi" w:cstheme="minorBidi"/>
      <w:lang w:val="fr-BE" w:eastAsia="en-US"/>
    </w:rPr>
  </w:style>
  <w:style w:type="character" w:styleId="FootnoteReference">
    <w:name w:val="footnote reference"/>
    <w:basedOn w:val="DefaultParagraphFont"/>
    <w:uiPriority w:val="99"/>
    <w:semiHidden/>
    <w:unhideWhenUsed/>
    <w:rsid w:val="00764518"/>
    <w:rPr>
      <w:vertAlign w:val="superscript"/>
    </w:rPr>
  </w:style>
  <w:style w:type="character" w:styleId="Strong">
    <w:name w:val="Strong"/>
    <w:basedOn w:val="DefaultParagraphFont"/>
    <w:uiPriority w:val="22"/>
    <w:qFormat/>
    <w:rsid w:val="00764518"/>
    <w:rPr>
      <w:b/>
      <w:bCs/>
    </w:rPr>
  </w:style>
  <w:style w:type="character" w:styleId="Emphasis">
    <w:name w:val="Emphasis"/>
    <w:basedOn w:val="DefaultParagraphFont"/>
    <w:uiPriority w:val="20"/>
    <w:qFormat/>
    <w:rsid w:val="00764518"/>
    <w:rPr>
      <w:i/>
      <w:iCs/>
    </w:rPr>
  </w:style>
  <w:style w:type="table" w:styleId="TableGrid">
    <w:name w:val="Table Grid"/>
    <w:basedOn w:val="TableNormal"/>
    <w:uiPriority w:val="39"/>
    <w:rsid w:val="00764518"/>
    <w:rPr>
      <w:rFonts w:asciiTheme="minorHAnsi" w:eastAsiaTheme="minorHAnsi" w:hAnsiTheme="minorHAnsi" w:cstheme="minorBid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764518"/>
    <w:rPr>
      <w:rFonts w:asciiTheme="minorHAnsi" w:eastAsiaTheme="minorHAnsi" w:hAnsiTheme="minorHAnsi" w:cstheme="minorBidi"/>
      <w:sz w:val="22"/>
      <w:szCs w:val="22"/>
      <w:lang w:val="fr-BE"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4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7D3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7D3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7D3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7D3A" w:themeFill="accent2"/>
      </w:tcPr>
    </w:tblStylePr>
    <w:tblStylePr w:type="band1Vert">
      <w:tblPr/>
      <w:tcPr>
        <w:shd w:val="clear" w:color="auto" w:fill="FACAB0" w:themeFill="accent2" w:themeFillTint="66"/>
      </w:tcPr>
    </w:tblStylePr>
    <w:tblStylePr w:type="band1Horz">
      <w:tblPr/>
      <w:tcPr>
        <w:shd w:val="clear" w:color="auto" w:fill="FACAB0" w:themeFill="accent2" w:themeFillTint="66"/>
      </w:tcPr>
    </w:tblStylePr>
  </w:style>
  <w:style w:type="paragraph" w:customStyle="1" w:styleId="Default">
    <w:name w:val="Default"/>
    <w:rsid w:val="009175FE"/>
    <w:pPr>
      <w:autoSpaceDE w:val="0"/>
      <w:autoSpaceDN w:val="0"/>
      <w:adjustRightInd w:val="0"/>
    </w:pPr>
    <w:rPr>
      <w:rFonts w:eastAsiaTheme="minorHAnsi" w:cs="Century Gothic"/>
      <w:color w:val="000000"/>
      <w:sz w:val="24"/>
      <w:szCs w:val="24"/>
      <w:lang w:eastAsia="en-US"/>
    </w:rPr>
  </w:style>
  <w:style w:type="character" w:customStyle="1" w:styleId="apple-converted-space">
    <w:name w:val="apple-converted-space"/>
    <w:basedOn w:val="DefaultParagraphFont"/>
    <w:rsid w:val="00862E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70739">
      <w:bodyDiv w:val="1"/>
      <w:marLeft w:val="0"/>
      <w:marRight w:val="0"/>
      <w:marTop w:val="0"/>
      <w:marBottom w:val="0"/>
      <w:divBdr>
        <w:top w:val="none" w:sz="0" w:space="0" w:color="auto"/>
        <w:left w:val="none" w:sz="0" w:space="0" w:color="auto"/>
        <w:bottom w:val="none" w:sz="0" w:space="0" w:color="auto"/>
        <w:right w:val="none" w:sz="0" w:space="0" w:color="auto"/>
      </w:divBdr>
    </w:div>
    <w:div w:id="150026830">
      <w:bodyDiv w:val="1"/>
      <w:marLeft w:val="0"/>
      <w:marRight w:val="0"/>
      <w:marTop w:val="0"/>
      <w:marBottom w:val="0"/>
      <w:divBdr>
        <w:top w:val="none" w:sz="0" w:space="0" w:color="auto"/>
        <w:left w:val="none" w:sz="0" w:space="0" w:color="auto"/>
        <w:bottom w:val="none" w:sz="0" w:space="0" w:color="auto"/>
        <w:right w:val="none" w:sz="0" w:space="0" w:color="auto"/>
      </w:divBdr>
    </w:div>
    <w:div w:id="40156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f-oecd.org/sites/default/files/decarbonising-transport-brochure.pdf" TargetMode="External"/><Relationship Id="rId4" Type="http://schemas.openxmlformats.org/officeDocument/2006/relationships/settings" Target="settings.xml"/><Relationship Id="rId9" Type="http://schemas.openxmlformats.org/officeDocument/2006/relationships/hyperlink" Target="http://climateaction.unfccc.int/cooperative-initiative/public-transport-declaration-on-climate-leadership/transpor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K:\COMMUNICATION\CORPORATE%20IDENTITY\07%20-%20Templates\02%20-%20Word%20document\Header%20logo%20with%20curves\portrait\yellow-orange-curve.dotx" TargetMode="External"/></Relationships>
</file>

<file path=word/theme/theme1.xml><?xml version="1.0" encoding="utf-8"?>
<a:theme xmlns:a="http://schemas.openxmlformats.org/drawingml/2006/main" name="Office Theme">
  <a:themeElements>
    <a:clrScheme name="UITP">
      <a:dk1>
        <a:srgbClr val="184249"/>
      </a:dk1>
      <a:lt1>
        <a:sysClr val="window" lastClr="FFFFFF"/>
      </a:lt1>
      <a:dk2>
        <a:srgbClr val="1F497D"/>
      </a:dk2>
      <a:lt2>
        <a:srgbClr val="EEECE1"/>
      </a:lt2>
      <a:accent1>
        <a:srgbClr val="E8B128"/>
      </a:accent1>
      <a:accent2>
        <a:srgbClr val="F47D3A"/>
      </a:accent2>
      <a:accent3>
        <a:srgbClr val="88BEAC"/>
      </a:accent3>
      <a:accent4>
        <a:srgbClr val="8BB860"/>
      </a:accent4>
      <a:accent5>
        <a:srgbClr val="711941"/>
      </a:accent5>
      <a:accent6>
        <a:srgbClr val="E4352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DEF99-673D-4B48-B7AE-A49D8A875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yellow-orange-curve</Template>
  <TotalTime>1</TotalTime>
  <Pages>4</Pages>
  <Words>1236</Words>
  <Characters>7050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Philip</dc:creator>
  <cp:keywords/>
  <dc:description/>
  <cp:lastModifiedBy>TURNER Philip</cp:lastModifiedBy>
  <cp:revision>2</cp:revision>
  <dcterms:created xsi:type="dcterms:W3CDTF">2017-04-27T09:43:00Z</dcterms:created>
  <dcterms:modified xsi:type="dcterms:W3CDTF">2017-04-27T09:43:00Z</dcterms:modified>
</cp:coreProperties>
</file>